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471818670"/>
      <w:r/>
      <w:bookmarkStart w:id="5" w:name="_Toc6348"/>
      <w:r/>
      <w:bookmarkStart w:id="6" w:name="_Toc51779337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92"/>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1093"/>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093"/>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eastAsia"/>
        </w:rPr>
      </w:pPr>
      <w:r>
        <w:rPr>
          <w:rFonts w:hint="eastAsia"/>
        </w:rPr>
        <w:t xml:space="preserve">项目名称：</w:t>
      </w:r>
      <w:r>
        <w:rPr>
          <w:rFonts w:hint="eastAsia" w:eastAsia="宋体" w:cs="Times New Roman"/>
          <w:lang w:val="en-US" w:eastAsia="zh-CN"/>
        </w:rPr>
        <w:t xml:space="preserve">2025年常州市金坛区第三人民医院云桌面项目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default" w:eastAsia="宋体" w:cs="Times New Roman"/>
          <w:lang w:val="en-US" w:eastAsia="zh-CN"/>
        </w:rPr>
        <w:outlineLvl w:val="9"/>
      </w:pPr>
      <w:r>
        <w:rPr>
          <w:rFonts w:hint="eastAsia" w:ascii="宋体" w:hAnsi="宋体" w:eastAsia="宋体" w:cs="宋体"/>
          <w:color w:val="333333"/>
          <w:spacing w:val="8"/>
          <w:sz w:val="28"/>
          <w:szCs w:val="28"/>
        </w:rPr>
        <w:t xml:space="preserve">项目编号：</w:t>
      </w:r>
      <w:r>
        <w:rPr>
          <w:rFonts w:hint="eastAsia" w:eastAsia="宋体" w:cs="Times New Roman"/>
          <w:lang w:val="en-US" w:eastAsia="zh-CN"/>
        </w:rPr>
        <w:t xml:space="preserve">JSZC-320413-JZCG-G2025-0049</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eastAsia="宋体" w:cs="Times New Roman"/>
          <w:lang w:val="en-US" w:eastAsia="zh-CN"/>
        </w:rPr>
        <w:t xml:space="preserve">常州市金坛区第三人民医院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092"/>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39"/>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3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113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3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3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3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3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3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3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548"/>
      <w:r/>
      <w:bookmarkStart w:id="9" w:name="_Toc16555"/>
      <w:r/>
      <w:bookmarkStart w:id="10" w:name="_Toc16103"/>
      <w:r/>
      <w:bookmarkStart w:id="11" w:name="_Toc3337"/>
      <w:r/>
      <w:bookmarkStart w:id="12" w:name="_Toc20084"/>
      <w:r/>
      <w:bookmarkStart w:id="13" w:name="_Toc572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3"/>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094"/>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JSZC-320413-JZCG-G2025-0049 </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2025年</w:t>
      </w:r>
      <w:r>
        <w:rPr>
          <w:rFonts w:hint="eastAsia" w:ascii="宋体" w:hAnsi="宋体" w:cs="宋体"/>
          <w:b/>
          <w:bCs/>
          <w:color w:val="1d41d5"/>
          <w:spacing w:val="8"/>
          <w:sz w:val="28"/>
          <w:szCs w:val="28"/>
          <w:u w:val="single"/>
          <w:lang w:val="en-US" w:eastAsia="zh-CN"/>
        </w:rPr>
        <w:t xml:space="preserve">常州市金坛区第三人民医院云桌面项目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cs="宋体"/>
          <w:b/>
          <w:bCs/>
          <w:color w:val="1d41d5"/>
          <w:spacing w:val="8"/>
          <w:sz w:val="28"/>
          <w:szCs w:val="28"/>
          <w:u w:val="single"/>
          <w:lang w:val="en-US" w:eastAsia="zh-CN"/>
        </w:rPr>
        <w:t xml:space="preserve">22.28</w:t>
      </w:r>
      <w:r>
        <w:rPr>
          <w:rFonts w:hint="eastAsia" w:ascii="宋体" w:hAnsi="宋体" w:eastAsia="宋体" w:cs="宋体"/>
          <w:b/>
          <w:bCs/>
          <w:color w:val="1d41d5"/>
          <w:spacing w:val="8"/>
          <w:sz w:val="28"/>
          <w:szCs w:val="28"/>
          <w:u w:val="single"/>
          <w:lang w:val="en-US" w:eastAsia="zh-CN"/>
        </w:rPr>
        <w:t xml:space="preserve">万元。其中：01包</w:t>
      </w:r>
      <w:r>
        <w:rPr>
          <w:rFonts w:hint="eastAsia" w:ascii="宋体" w:hAnsi="宋体" w:cs="宋体"/>
          <w:b/>
          <w:bCs/>
          <w:color w:val="1d41d5"/>
          <w:spacing w:val="8"/>
          <w:sz w:val="28"/>
          <w:szCs w:val="28"/>
          <w:u w:val="single"/>
          <w:lang w:val="en-US" w:eastAsia="zh-CN"/>
        </w:rPr>
        <w:t xml:space="preserve">2.28</w:t>
      </w:r>
      <w:r>
        <w:rPr>
          <w:rFonts w:hint="eastAsia" w:ascii="宋体" w:hAnsi="宋体" w:eastAsia="宋体" w:cs="宋体"/>
          <w:b/>
          <w:bCs/>
          <w:color w:val="1d41d5"/>
          <w:spacing w:val="8"/>
          <w:sz w:val="28"/>
          <w:szCs w:val="28"/>
          <w:u w:val="single"/>
          <w:lang w:val="en-US" w:eastAsia="zh-CN"/>
        </w:rPr>
        <w:t xml:space="preserve">万元，02包</w:t>
      </w:r>
      <w:r>
        <w:rPr>
          <w:rFonts w:hint="eastAsia" w:ascii="宋体" w:hAnsi="宋体" w:cs="宋体"/>
          <w:b/>
          <w:bCs/>
          <w:color w:val="1d41d5"/>
          <w:spacing w:val="8"/>
          <w:sz w:val="28"/>
          <w:szCs w:val="28"/>
          <w:u w:val="single"/>
          <w:lang w:val="en-US" w:eastAsia="zh-CN"/>
        </w:rPr>
        <w:t xml:space="preserve">3</w:t>
      </w:r>
      <w:r>
        <w:rPr>
          <w:rFonts w:hint="eastAsia" w:ascii="宋体" w:hAnsi="宋体" w:eastAsia="宋体" w:cs="宋体"/>
          <w:b/>
          <w:bCs/>
          <w:color w:val="1d41d5"/>
          <w:spacing w:val="8"/>
          <w:sz w:val="28"/>
          <w:szCs w:val="28"/>
          <w:u w:val="single"/>
          <w:lang w:val="en-US" w:eastAsia="zh-CN"/>
        </w:rPr>
        <w:t xml:space="preserve">万元，03包</w:t>
      </w:r>
      <w:r>
        <w:rPr>
          <w:rFonts w:hint="eastAsia" w:ascii="宋体" w:hAnsi="宋体" w:cs="宋体"/>
          <w:b/>
          <w:bCs/>
          <w:color w:val="1d41d5"/>
          <w:spacing w:val="8"/>
          <w:sz w:val="28"/>
          <w:szCs w:val="28"/>
          <w:u w:val="single"/>
          <w:lang w:val="en-US" w:eastAsia="zh-CN"/>
        </w:rPr>
        <w:t xml:space="preserve">12</w:t>
      </w:r>
      <w:r>
        <w:rPr>
          <w:rFonts w:hint="eastAsia" w:ascii="宋体" w:hAnsi="宋体" w:eastAsia="宋体" w:cs="宋体"/>
          <w:b/>
          <w:bCs/>
          <w:color w:val="1d41d5"/>
          <w:spacing w:val="8"/>
          <w:sz w:val="28"/>
          <w:szCs w:val="28"/>
          <w:u w:val="single"/>
          <w:lang w:val="en-US" w:eastAsia="zh-CN"/>
        </w:rPr>
        <w:t xml:space="preserve">万元，0</w:t>
      </w:r>
      <w:r>
        <w:rPr>
          <w:rFonts w:hint="eastAsia" w:ascii="宋体" w:hAnsi="宋体" w:cs="宋体"/>
          <w:b/>
          <w:bCs/>
          <w:color w:val="1d41d5"/>
          <w:spacing w:val="8"/>
          <w:sz w:val="28"/>
          <w:szCs w:val="28"/>
          <w:u w:val="single"/>
          <w:lang w:val="en-US" w:eastAsia="zh-CN"/>
        </w:rPr>
        <w:t xml:space="preserve">4</w:t>
      </w:r>
      <w:r>
        <w:rPr>
          <w:rFonts w:hint="eastAsia" w:ascii="宋体" w:hAnsi="宋体" w:eastAsia="宋体" w:cs="宋体"/>
          <w:b/>
          <w:bCs/>
          <w:color w:val="1d41d5"/>
          <w:spacing w:val="8"/>
          <w:sz w:val="28"/>
          <w:szCs w:val="28"/>
          <w:u w:val="single"/>
          <w:lang w:val="en-US" w:eastAsia="zh-CN"/>
        </w:rPr>
        <w:t xml:space="preserve">包</w:t>
      </w:r>
      <w:r>
        <w:rPr>
          <w:rFonts w:hint="eastAsia" w:ascii="宋体" w:hAnsi="宋体" w:cs="宋体"/>
          <w:b/>
          <w:bCs/>
          <w:color w:val="1d41d5"/>
          <w:spacing w:val="8"/>
          <w:sz w:val="28"/>
          <w:szCs w:val="28"/>
          <w:u w:val="single"/>
          <w:lang w:val="en-US" w:eastAsia="zh-CN"/>
        </w:rPr>
        <w:t xml:space="preserve">5 </w:t>
      </w:r>
      <w:r>
        <w:rPr>
          <w:rFonts w:hint="eastAsia" w:ascii="宋体" w:hAnsi="宋体" w:eastAsia="宋体" w:cs="宋体"/>
          <w:b/>
          <w:bCs/>
          <w:color w:val="1d41d5"/>
          <w:spacing w:val="8"/>
          <w:sz w:val="28"/>
          <w:szCs w:val="28"/>
          <w:u w:val="single"/>
          <w:lang w:val="en-US" w:eastAsia="zh-CN"/>
        </w:rPr>
        <w:t xml:space="preserve">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22万元。其中：01包</w:t>
      </w:r>
      <w:r>
        <w:rPr>
          <w:rFonts w:hint="eastAsia" w:ascii="宋体" w:hAnsi="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en-US" w:eastAsia="zh-CN"/>
        </w:rPr>
        <w:t xml:space="preserve">万元，02包</w:t>
      </w:r>
      <w:r>
        <w:rPr>
          <w:rFonts w:hint="eastAsia" w:ascii="宋体" w:hAnsi="宋体" w:cs="宋体"/>
          <w:b/>
          <w:bCs/>
          <w:color w:val="1d41d5"/>
          <w:spacing w:val="8"/>
          <w:sz w:val="28"/>
          <w:szCs w:val="28"/>
          <w:u w:val="single"/>
          <w:lang w:val="en-US" w:eastAsia="zh-CN"/>
        </w:rPr>
        <w:t xml:space="preserve">3</w:t>
      </w:r>
      <w:r>
        <w:rPr>
          <w:rFonts w:hint="eastAsia" w:ascii="宋体" w:hAnsi="宋体" w:eastAsia="宋体" w:cs="宋体"/>
          <w:b/>
          <w:bCs/>
          <w:color w:val="1d41d5"/>
          <w:spacing w:val="8"/>
          <w:sz w:val="28"/>
          <w:szCs w:val="28"/>
          <w:u w:val="single"/>
          <w:lang w:val="en-US" w:eastAsia="zh-CN"/>
        </w:rPr>
        <w:t xml:space="preserve">万元，03包</w:t>
      </w:r>
      <w:r>
        <w:rPr>
          <w:rFonts w:hint="eastAsia" w:ascii="宋体" w:hAnsi="宋体" w:cs="宋体"/>
          <w:b/>
          <w:bCs/>
          <w:color w:val="1d41d5"/>
          <w:spacing w:val="8"/>
          <w:sz w:val="28"/>
          <w:szCs w:val="28"/>
          <w:u w:val="single"/>
          <w:lang w:val="en-US" w:eastAsia="zh-CN"/>
        </w:rPr>
        <w:t xml:space="preserve">12</w:t>
      </w:r>
      <w:r>
        <w:rPr>
          <w:rFonts w:hint="eastAsia" w:ascii="宋体" w:hAnsi="宋体" w:eastAsia="宋体" w:cs="宋体"/>
          <w:b/>
          <w:bCs/>
          <w:color w:val="1d41d5"/>
          <w:spacing w:val="8"/>
          <w:sz w:val="28"/>
          <w:szCs w:val="28"/>
          <w:u w:val="single"/>
          <w:lang w:val="en-US" w:eastAsia="zh-CN"/>
        </w:rPr>
        <w:t xml:space="preserve">万元，04包</w:t>
      </w:r>
      <w:r>
        <w:rPr>
          <w:rFonts w:hint="eastAsia" w:ascii="宋体" w:hAnsi="宋体" w:cs="宋体"/>
          <w:b/>
          <w:bCs/>
          <w:color w:val="1d41d5"/>
          <w:spacing w:val="8"/>
          <w:sz w:val="28"/>
          <w:szCs w:val="28"/>
          <w:u w:val="single"/>
          <w:lang w:val="en-US" w:eastAsia="zh-CN"/>
        </w:rPr>
        <w:t xml:space="preserve">5</w:t>
      </w:r>
      <w:r>
        <w:rPr>
          <w:rFonts w:hint="eastAsia" w:ascii="宋体" w:hAnsi="宋体" w:eastAsia="宋体" w:cs="宋体"/>
          <w:b/>
          <w:bCs/>
          <w:color w:val="1d41d5"/>
          <w:spacing w:val="8"/>
          <w:sz w:val="28"/>
          <w:szCs w:val="28"/>
          <w:u w:val="single"/>
          <w:lang w:val="en-US" w:eastAsia="zh-CN"/>
        </w:rPr>
        <w:t xml:space="preserve">万元</w:t>
      </w:r>
      <w:r/>
    </w:p>
    <w:p>
      <w:pPr>
        <w:ind w:firstLine="592"/>
        <w:keepLines/>
        <w:keepNext w:val="0"/>
        <w:pageBreakBefore w:val="0"/>
        <w:widowControl w:val="off"/>
        <w:rPr>
          <w:rFonts w:hint="default"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1.5采购需求</w:t>
      </w:r>
      <w:r>
        <w:rPr>
          <w:rFonts w:hint="eastAsia" w:ascii="宋体" w:hAnsi="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本项目分4个包，投标人可自行选择对一个或多个包进行投标，兼投兼中。</w:t>
      </w:r>
      <w:r/>
    </w:p>
    <w:tbl>
      <w:tblPr>
        <w:tblStyle w:val="1097"/>
        <w:tblW w:w="9488"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035"/>
        <w:gridCol w:w="916"/>
        <w:gridCol w:w="823"/>
        <w:gridCol w:w="2085"/>
        <w:gridCol w:w="753"/>
      </w:tblGrid>
      <w:tr>
        <w:trPr>
          <w:trHeight w:val="1038"/>
        </w:trPr>
        <w:tc>
          <w:tcPr>
            <w:tcW w:w="87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color w:val="000000"/>
                <w:sz w:val="28"/>
                <w:szCs w:val="28"/>
                <w:lang w:val="en-US" w:eastAsia="zh-CN"/>
              </w:rPr>
              <w:suppressLineNumbers w:val="0"/>
            </w:pPr>
            <w:r>
              <w:rPr>
                <w:rFonts w:hint="eastAsia" w:ascii="宋体" w:hAnsi="宋体" w:cs="宋体"/>
                <w:b/>
                <w:color w:val="000000"/>
                <w:sz w:val="28"/>
                <w:szCs w:val="28"/>
                <w:lang w:val="en-US" w:eastAsia="zh-CN"/>
              </w:rPr>
              <w:t xml:space="preserve">包号</w:t>
            </w:r>
            <w:r/>
          </w:p>
        </w:tc>
        <w:tc>
          <w:tcPr>
            <w:tcW w:w="4035"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91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23"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20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753"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524"/>
        </w:trPr>
        <w:tc>
          <w:tcPr>
            <w:tcW w:w="87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01</w:t>
            </w:r>
            <w:r/>
          </w:p>
        </w:tc>
        <w:tc>
          <w:tcPr>
            <w:tcW w:w="403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b w:val="0"/>
                <w:bCs/>
                <w:sz w:val="28"/>
                <w:szCs w:val="28"/>
                <w:lang w:val="en-US" w:eastAsia="zh-CN"/>
              </w:rPr>
              <w:t xml:space="preserve">金坛区第三人民医院云桌面服务（村卫生室）</w:t>
            </w:r>
            <w:r/>
          </w:p>
        </w:tc>
        <w:tc>
          <w:tcPr>
            <w:tcW w:w="916"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20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753"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r>
        <w:trPr>
          <w:trHeight w:val="524"/>
        </w:trPr>
        <w:tc>
          <w:tcPr>
            <w:tcW w:w="87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02</w:t>
            </w:r>
            <w:r/>
          </w:p>
        </w:tc>
        <w:tc>
          <w:tcPr>
            <w:tcW w:w="403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b w:val="0"/>
                <w:bCs/>
                <w:sz w:val="28"/>
                <w:szCs w:val="28"/>
                <w:lang w:val="en-US" w:eastAsia="zh-CN"/>
              </w:rPr>
              <w:t xml:space="preserve">金坛区第三人民医院云桌面服务（老院区）</w:t>
            </w:r>
            <w:r/>
          </w:p>
        </w:tc>
        <w:tc>
          <w:tcPr>
            <w:tcW w:w="916"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default" w:ascii="宋体" w:hAnsi="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20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753"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i w:val="0"/>
                <w:iCs w:val="0"/>
                <w:caps w:val="0"/>
                <w:color w:val="000000"/>
                <w:spacing w:val="0"/>
                <w:sz w:val="28"/>
                <w:szCs w:val="28"/>
                <w:shd w:val="clear" w:color="auto" w:fill="ffffff"/>
              </w:rPr>
              <w:suppressLineNumbers w:val="0"/>
            </w:pPr>
            <w:r>
              <w:rPr>
                <w:rFonts w:hint="eastAsia" w:ascii="宋体" w:hAnsi="宋体" w:eastAsia="宋体" w:cs="宋体"/>
                <w:b w:val="0"/>
                <w:bCs/>
                <w:i w:val="0"/>
                <w:iCs w:val="0"/>
                <w:caps w:val="0"/>
                <w:color w:val="000000"/>
                <w:spacing w:val="0"/>
                <w:sz w:val="28"/>
                <w:szCs w:val="28"/>
                <w:shd w:val="clear" w:color="auto" w:fill="ffffff"/>
              </w:rPr>
            </w:r>
            <w:r/>
          </w:p>
        </w:tc>
      </w:tr>
      <w:tr>
        <w:trPr>
          <w:trHeight w:val="524"/>
        </w:trPr>
        <w:tc>
          <w:tcPr>
            <w:tcW w:w="87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03</w:t>
            </w:r>
            <w:r/>
          </w:p>
        </w:tc>
        <w:tc>
          <w:tcPr>
            <w:tcW w:w="403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b w:val="0"/>
                <w:bCs/>
                <w:sz w:val="28"/>
                <w:szCs w:val="28"/>
                <w:lang w:val="en-US" w:eastAsia="zh-CN"/>
              </w:rPr>
              <w:t xml:space="preserve">金坛区第三人民医院云桌面服务一期（新院区）</w:t>
            </w:r>
            <w:r/>
          </w:p>
        </w:tc>
        <w:tc>
          <w:tcPr>
            <w:tcW w:w="916"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default" w:ascii="宋体" w:hAnsi="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20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753"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i w:val="0"/>
                <w:iCs w:val="0"/>
                <w:caps w:val="0"/>
                <w:color w:val="000000"/>
                <w:spacing w:val="0"/>
                <w:sz w:val="28"/>
                <w:szCs w:val="28"/>
                <w:shd w:val="clear" w:color="auto" w:fill="ffffff"/>
              </w:rPr>
              <w:suppressLineNumbers w:val="0"/>
            </w:pPr>
            <w:r>
              <w:rPr>
                <w:rFonts w:hint="eastAsia" w:ascii="宋体" w:hAnsi="宋体" w:eastAsia="宋体" w:cs="宋体"/>
                <w:b w:val="0"/>
                <w:bCs/>
                <w:i w:val="0"/>
                <w:iCs w:val="0"/>
                <w:caps w:val="0"/>
                <w:color w:val="000000"/>
                <w:spacing w:val="0"/>
                <w:sz w:val="28"/>
                <w:szCs w:val="28"/>
                <w:shd w:val="clear" w:color="auto" w:fill="ffffff"/>
              </w:rPr>
            </w:r>
            <w:r/>
          </w:p>
        </w:tc>
      </w:tr>
      <w:tr>
        <w:trPr>
          <w:trHeight w:val="533"/>
        </w:trPr>
        <w:tc>
          <w:tcPr>
            <w:tcW w:w="87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04</w:t>
            </w:r>
            <w:r/>
          </w:p>
        </w:tc>
        <w:tc>
          <w:tcPr>
            <w:tcW w:w="403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b w:val="0"/>
                <w:bCs/>
                <w:sz w:val="28"/>
                <w:szCs w:val="28"/>
                <w:lang w:val="en-US" w:eastAsia="zh-CN"/>
              </w:rPr>
              <w:t xml:space="preserve">金坛区第三人民医院云桌面服务二期（新院区）</w:t>
            </w:r>
            <w:r/>
          </w:p>
        </w:tc>
        <w:tc>
          <w:tcPr>
            <w:tcW w:w="916"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default" w:ascii="宋体" w:hAnsi="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20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753"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i w:val="0"/>
                <w:iCs w:val="0"/>
                <w:caps w:val="0"/>
                <w:color w:val="000000"/>
                <w:spacing w:val="0"/>
                <w:sz w:val="28"/>
                <w:szCs w:val="28"/>
                <w:shd w:val="clear" w:color="auto" w:fill="ffffff"/>
              </w:rPr>
              <w:suppressLineNumbers w:val="0"/>
            </w:pPr>
            <w:r>
              <w:rPr>
                <w:rFonts w:hint="eastAsia" w:ascii="宋体" w:hAnsi="宋体" w:eastAsia="宋体" w:cs="宋体"/>
                <w:b w:val="0"/>
                <w:bCs/>
                <w:i w:val="0"/>
                <w:iCs w:val="0"/>
                <w:caps w:val="0"/>
                <w:color w:val="000000"/>
                <w:spacing w:val="0"/>
                <w:sz w:val="28"/>
                <w:szCs w:val="28"/>
                <w:shd w:val="clear" w:color="auto" w:fill="ffffff"/>
              </w:rPr>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自合同签订之日起1年。</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094"/>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94"/>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094"/>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794"/>
      <w:r/>
      <w:bookmarkStart w:id="17" w:name="_Toc35393625"/>
      <w:r/>
      <w:bookmarkStart w:id="18" w:name="_Toc28359007"/>
      <w:r/>
      <w:bookmarkStart w:id="19" w:name="_Toc2835908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12</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30</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094"/>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094"/>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094"/>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zh-TW" w:eastAsia="zh-CN"/>
        </w:rPr>
        <w:t xml:space="preserve">金坛区第三人民医院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杨先生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13813506899</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常州市金坛区西门大街156号</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bookmarkEnd w:id="15"/>
      <w:r/>
      <w:r/>
    </w:p>
    <w:p>
      <w:pPr>
        <w:jc w:val="left"/>
        <w:tabs>
          <w:tab w:val="left" w:pos="7924" w:leader="none"/>
        </w:tabs>
        <w:rPr>
          <w:rStyle w:val="1119"/>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19"/>
          <w:rFonts w:hint="eastAsia" w:ascii="宋体" w:hAnsi="宋体" w:eastAsia="宋体" w:cs="宋体"/>
          <w:sz w:val="28"/>
          <w:szCs w:val="28"/>
        </w:rPr>
      </w:pPr>
      <w:r/>
      <w:bookmarkStart w:id="21" w:name="_Toc29535"/>
      <w:r/>
      <w:bookmarkStart w:id="22" w:name="_Toc7653"/>
      <w:r/>
      <w:bookmarkStart w:id="23" w:name="_Toc11125"/>
      <w:r/>
      <w:bookmarkStart w:id="24" w:name="_Toc16227"/>
      <w:r/>
      <w:bookmarkStart w:id="25" w:name="_Toc2993"/>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pStyle w:val="1093"/>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Style w:val="1119"/>
          <w:rFonts w:hint="eastAsia" w:ascii="宋体" w:hAnsi="宋体" w:eastAsia="宋体" w:cs="宋体"/>
          <w:sz w:val="28"/>
          <w:szCs w:val="28"/>
        </w:rPr>
      </w:r>
      <w:r>
        <w:rPr>
          <w:rStyle w:val="1119"/>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9"/>
          <w:rFonts w:hint="eastAsia" w:ascii="宋体" w:hAnsi="宋体" w:eastAsia="宋体" w:cs="宋体"/>
          <w:sz w:val="28"/>
          <w:szCs w:val="28"/>
        </w:rPr>
      </w:pPr>
      <w:r>
        <w:rPr>
          <w:rFonts w:hint="eastAsia" w:ascii="宋体" w:hAnsi="宋体" w:eastAsia="宋体" w:cs="宋体"/>
          <w:sz w:val="28"/>
          <w:szCs w:val="28"/>
        </w:rPr>
      </w:r>
      <w:r/>
    </w:p>
    <w:p>
      <w:pPr>
        <w:pStyle w:val="1094"/>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097"/>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w:t>
            </w:r>
            <w:r>
              <w:rPr>
                <w:rFonts w:hint="eastAsia" w:ascii="宋体" w:hAnsi="宋体" w:eastAsia="宋体" w:cs="宋体"/>
                <w:b/>
                <w:bCs/>
                <w:color w:val="1d41d5"/>
                <w:spacing w:val="8"/>
                <w:sz w:val="28"/>
                <w:szCs w:val="28"/>
                <w:u w:val="single"/>
                <w:lang w:val="zh-TW" w:eastAsia="zh-CN"/>
              </w:rPr>
              <w:t xml:space="preserve">金坛区第三人民医院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en-US" w:eastAsia="zh-CN"/>
              </w:rPr>
              <w:t xml:space="preserve">01包</w:t>
            </w:r>
            <w:r>
              <w:rPr>
                <w:rFonts w:hint="eastAsia" w:ascii="宋体" w:hAnsi="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en-US" w:eastAsia="zh-CN"/>
              </w:rPr>
              <w:t xml:space="preserve">万元，02包</w:t>
            </w:r>
            <w:r>
              <w:rPr>
                <w:rFonts w:hint="eastAsia" w:ascii="宋体" w:hAnsi="宋体" w:cs="宋体"/>
                <w:b/>
                <w:bCs/>
                <w:color w:val="1d41d5"/>
                <w:spacing w:val="8"/>
                <w:sz w:val="28"/>
                <w:szCs w:val="28"/>
                <w:u w:val="single"/>
                <w:lang w:val="en-US" w:eastAsia="zh-CN"/>
              </w:rPr>
              <w:t xml:space="preserve">3</w:t>
            </w:r>
            <w:r>
              <w:rPr>
                <w:rFonts w:hint="eastAsia" w:ascii="宋体" w:hAnsi="宋体" w:eastAsia="宋体" w:cs="宋体"/>
                <w:b/>
                <w:bCs/>
                <w:color w:val="1d41d5"/>
                <w:spacing w:val="8"/>
                <w:sz w:val="28"/>
                <w:szCs w:val="28"/>
                <w:u w:val="single"/>
                <w:lang w:val="en-US" w:eastAsia="zh-CN"/>
              </w:rPr>
              <w:t xml:space="preserve">万元，03包</w:t>
            </w:r>
            <w:r>
              <w:rPr>
                <w:rFonts w:hint="eastAsia" w:ascii="宋体" w:hAnsi="宋体" w:cs="宋体"/>
                <w:b/>
                <w:bCs/>
                <w:color w:val="1d41d5"/>
                <w:spacing w:val="8"/>
                <w:sz w:val="28"/>
                <w:szCs w:val="28"/>
                <w:u w:val="single"/>
                <w:lang w:val="en-US" w:eastAsia="zh-CN"/>
              </w:rPr>
              <w:t xml:space="preserve">12</w:t>
            </w:r>
            <w:r>
              <w:rPr>
                <w:rFonts w:hint="eastAsia" w:ascii="宋体" w:hAnsi="宋体" w:eastAsia="宋体" w:cs="宋体"/>
                <w:b/>
                <w:bCs/>
                <w:color w:val="1d41d5"/>
                <w:spacing w:val="8"/>
                <w:sz w:val="28"/>
                <w:szCs w:val="28"/>
                <w:u w:val="single"/>
                <w:lang w:val="en-US" w:eastAsia="zh-CN"/>
              </w:rPr>
              <w:t xml:space="preserve">万元，04包</w:t>
            </w:r>
            <w:r>
              <w:rPr>
                <w:rFonts w:hint="eastAsia" w:ascii="宋体" w:hAnsi="宋体" w:cs="宋体"/>
                <w:b/>
                <w:bCs/>
                <w:color w:val="1d41d5"/>
                <w:spacing w:val="8"/>
                <w:sz w:val="28"/>
                <w:szCs w:val="28"/>
                <w:u w:val="single"/>
                <w:lang w:val="en-US" w:eastAsia="zh-CN"/>
              </w:rPr>
              <w:t xml:space="preserve">5</w:t>
            </w:r>
            <w:r>
              <w:rPr>
                <w:rFonts w:hint="eastAsia" w:ascii="宋体" w:hAnsi="宋体" w:eastAsia="宋体" w:cs="宋体"/>
                <w:b/>
                <w:bCs/>
                <w:color w:val="1d41d5"/>
                <w:spacing w:val="8"/>
                <w:sz w:val="28"/>
                <w:szCs w:val="28"/>
                <w:u w:val="single"/>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cs="Times New Roman"/>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各包中标人打印一份投标文件正本自中标通知书发送之日起30日内送（邮寄）至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145"/>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46"/>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094"/>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94"/>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94"/>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094"/>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16.3.1不同投标人的投标文件由同一单位或者个人编制（包含使用同一MAC地址的计算机制作电子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16.3.2不同投标人委托同一单位或者个人办理投标事宜（包含使用同一MAC地址的计算机提交或者解密电子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94"/>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094"/>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rPr>
          <w:rFonts w:hint="eastAsia" w:ascii="宋体" w:hAnsi="宋体" w:eastAsia="宋体" w:cs="宋体"/>
          <w:sz w:val="28"/>
          <w:szCs w:val="28"/>
          <w:lang w:val="en-US" w:eastAsia="zh-CN"/>
        </w:rPr>
      </w:r>
      <w:r/>
    </w:p>
    <w:p>
      <w:pPr>
        <w:ind w:left="0" w:firstLine="3935"/>
        <w:jc w:val="both"/>
        <w:keepLines w:val="0"/>
        <w:keepNext w:val="0"/>
        <w:pageBreakBefore w:val="0"/>
        <w:spacing w:line="360" w:lineRule="auto"/>
        <w:widowControl w:val="off"/>
        <w:rPr>
          <w:rStyle w:val="1120"/>
          <w:rFonts w:hint="eastAsia"/>
          <w:lang w:val="en-US" w:eastAsia="zh-CN"/>
        </w:rPr>
        <w:outlineLvl w:val="9"/>
      </w:pPr>
      <w:r>
        <w:rPr>
          <w:rStyle w:val="1120"/>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3"/>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4"/>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094"/>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097"/>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18937"/>
      <w:r/>
      <w:bookmarkStart w:id="27" w:name="_Toc7340"/>
      <w:r/>
      <w:bookmarkStart w:id="28" w:name="_Toc6649"/>
      <w:r/>
      <w:bookmarkStart w:id="29" w:name="_Toc15648"/>
      <w:r/>
      <w:bookmarkStart w:id="30" w:name="_Toc19240"/>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3"/>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4"/>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094"/>
        <w:spacing w:line="240" w:lineRule="auto"/>
        <w:rPr>
          <w:rFonts w:hint="eastAsia"/>
          <w:lang w:val="en-US" w:eastAsia="zh-CN"/>
        </w:rPr>
      </w:pPr>
      <w:r>
        <w:rPr>
          <w:rFonts w:hint="eastAsia"/>
          <w:lang w:val="en-US" w:eastAsia="zh-CN"/>
        </w:rPr>
        <w:t xml:space="preserve">第二节  符合性审查要求</w:t>
      </w:r>
      <w:r/>
    </w:p>
    <w:tbl>
      <w:tblPr>
        <w:tblStyle w:val="109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754"/>
        <w:gridCol w:w="218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75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1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10.1不同投标人的投标文件由同一单位或者个人编制（包含使用同一MAC地址的计算机制作电子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10.2不同投标人委托同一单位或者个人办理投标事宜（包含使用同一MAC地址的计算机提交或者解密电子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14.3不符合法律、法规和招标文件规定的其他实质性要求的。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1094"/>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2.根据苏财购〔2025〕62号文件规定，评标委员会应针对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（一）评审过程中出现下列情形之一的，评审委员会应当启</w:t>
      </w:r>
      <w:r>
        <w:rPr>
          <w:rFonts w:hint="default" w:ascii="宋体" w:hAnsi="宋体" w:eastAsia="宋体" w:cs="宋体"/>
          <w:sz w:val="28"/>
          <w:szCs w:val="28"/>
          <w:lang w:val="en-US" w:eastAsia="zh-CN"/>
        </w:rPr>
        <w:t xml:space="preserve">动异常低价投标审查程序：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default" w:ascii="宋体" w:hAnsi="宋体" w:eastAsia="宋体" w:cs="宋体"/>
          <w:sz w:val="28"/>
          <w:szCs w:val="28"/>
          <w:lang w:val="en-US" w:eastAsia="zh-CN"/>
        </w:rPr>
        <w:t xml:space="preserve">投标报价低于采购项目预算 50% 的，即投标报价&lt;采购项目预算×50%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default" w:ascii="宋体" w:hAnsi="宋体" w:eastAsia="宋体" w:cs="宋体"/>
          <w:sz w:val="28"/>
          <w:szCs w:val="28"/>
          <w:lang w:val="en-US" w:eastAsia="zh-CN"/>
        </w:rPr>
        <w:t xml:space="preserve">投标报价低于采购项目最高限价 45% 的，即投标报价&lt;采购项目最高限价×45%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default" w:ascii="宋体" w:hAnsi="宋体" w:eastAsia="宋体" w:cs="宋体"/>
          <w:sz w:val="28"/>
          <w:szCs w:val="28"/>
          <w:lang w:val="en-US" w:eastAsia="zh-CN"/>
        </w:rPr>
        <w:t xml:space="preserve">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委员会认定的供应商报价过低、有可能影响产品质量或者不能诚信履约的其他情形。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default" w:ascii="宋体" w:hAnsi="宋体" w:eastAsia="宋体" w:cs="宋体"/>
          <w:sz w:val="28"/>
          <w:szCs w:val="28"/>
          <w:lang w:val="en-US" w:eastAsia="zh-CN"/>
        </w:rPr>
        <w:t xml:space="preserve">（二）启动异常低价投标审查后，评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委员会应当要求相关供应商在评标现场合理的时间内，提供项目具体成本测算等与报价合理性相关的书面说明及相关证明材料，对投标价格作出解释，由评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委员会应当将其作为无效投标</w:t>
      </w:r>
      <w:r>
        <w:rPr>
          <w:rFonts w:hint="eastAsia" w:ascii="宋体" w:hAnsi="宋体" w:cs="宋体"/>
          <w:sz w:val="28"/>
          <w:szCs w:val="28"/>
          <w:lang w:val="en-US" w:eastAsia="zh-CN"/>
        </w:rPr>
        <w:t xml:space="preserve">文件</w:t>
      </w:r>
      <w:r>
        <w:rPr>
          <w:rFonts w:hint="default" w:ascii="宋体" w:hAnsi="宋体" w:eastAsia="宋体" w:cs="宋体"/>
          <w:sz w:val="28"/>
          <w:szCs w:val="28"/>
          <w:lang w:val="en-US" w:eastAsia="zh-CN"/>
        </w:rPr>
        <w:t xml:space="preserve">处理。审查相关情况应当在评审报告中进行记录。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1094"/>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094"/>
        <w:numPr>
          <w:ilvl w:val="0"/>
          <w:numId w:val="2"/>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bookmarkEnd w:id="32"/>
      <w:r/>
      <w:bookmarkStart w:id="50" w:name="_GoBack"/>
      <w:r/>
      <w:bookmarkEnd w:id="50"/>
      <w:r>
        <w:rPr>
          <w:rFonts w:hint="eastAsia" w:ascii="黑体" w:hAnsi="黑体" w:eastAsia="黑体" w:cs="Times New Roman"/>
          <w:sz w:val="28"/>
          <w:szCs w:val="28"/>
          <w:lang w:val="en-US" w:eastAsia="zh-CN"/>
        </w:rPr>
        <w:t xml:space="preserve"> 评标标准</w:t>
      </w:r>
      <w:r/>
    </w:p>
    <w:p>
      <w:pPr>
        <w:numPr>
          <w:ilvl w:val="0"/>
          <w:numId w:val="0"/>
        </w:numPr>
        <w:jc w:val="center"/>
        <w:rPr>
          <w:rFonts w:hint="default"/>
          <w:b/>
          <w:bCs/>
          <w:lang w:val="en-US" w:eastAsia="zh-CN"/>
        </w:rPr>
      </w:pPr>
      <w:r>
        <w:rPr>
          <w:rFonts w:hint="eastAsia"/>
          <w:b/>
          <w:bCs/>
          <w:lang w:val="en-US" w:eastAsia="zh-CN"/>
        </w:rPr>
        <w:t xml:space="preserve">01包</w:t>
      </w:r>
      <w:r/>
    </w:p>
    <w:tbl>
      <w:tblPr>
        <w:tblStyle w:val="1097"/>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4"/>
        <w:gridCol w:w="1072"/>
        <w:gridCol w:w="4830"/>
        <w:gridCol w:w="819"/>
        <w:gridCol w:w="631"/>
        <w:gridCol w:w="755"/>
        <w:gridCol w:w="754"/>
      </w:tblGrid>
      <w:tr>
        <w:trPr>
          <w:trHeight w:val="420"/>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48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482"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val="0"/>
                <w:bCs/>
                <w:sz w:val="28"/>
                <w:szCs w:val="28"/>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551"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482" w:type="pct"/>
            <w:vAlign w:val="center"/>
            <w:textDirection w:val="lrTb"/>
            <w:noWrap w:val="false"/>
          </w:tcPr>
          <w:p>
            <w:pPr>
              <w:ind w:left="0" w:right="0" w:firstLine="0"/>
              <w:jc w:val="left"/>
              <w:keepLines w:val="0"/>
              <w:keepNext w:val="0"/>
              <w:spacing w:before="0" w:beforeAutospacing="0" w:after="0" w:afterAutospacing="0"/>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40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2.1</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技术方案 </w:t>
            </w:r>
            <w:r/>
          </w:p>
        </w:tc>
        <w:tc>
          <w:tcPr>
            <w:tcMar>
              <w:left w:w="108" w:type="dxa"/>
              <w:top w:w="0" w:type="dxa"/>
              <w:right w:w="108" w:type="dxa"/>
              <w:bottom w:w="0" w:type="dxa"/>
            </w:tcMar>
            <w:tcW w:w="2482"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rPr>
              <w:suppressLineNumbers w:val="0"/>
            </w:pPr>
            <w:r>
              <w:rPr>
                <w:rFonts w:hint="eastAsia" w:ascii="宋体" w:hAnsi="宋体" w:eastAsia="宋体" w:cs="宋体"/>
                <w:szCs w:val="28"/>
                <w:lang w:val="en-US" w:eastAsia="zh-CN"/>
              </w:rPr>
              <w:t xml:space="preserve">（一）</w:t>
            </w:r>
            <w:r>
              <w:rPr>
                <w:rFonts w:hint="eastAsia" w:ascii="宋体" w:hAnsi="宋体" w:eastAsia="宋体" w:cs="宋体"/>
                <w:szCs w:val="28"/>
                <w:lang w:val="en-US"/>
              </w:rPr>
              <w:t xml:space="preserve">评分内容：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w:t>
            </w:r>
            <w:r>
              <w:rPr>
                <w:rFonts w:hint="eastAsia" w:ascii="宋体" w:hAnsi="宋体" w:eastAsia="宋体" w:cs="宋体"/>
                <w:szCs w:val="28"/>
              </w:rPr>
              <w:t xml:space="preserve">人针对本项目</w:t>
            </w:r>
            <w:r>
              <w:rPr>
                <w:rFonts w:hint="eastAsia" w:ascii="宋体" w:hAnsi="宋体" w:eastAsia="宋体" w:cs="宋体"/>
                <w:szCs w:val="28"/>
                <w:lang w:val="en-US" w:eastAsia="zh-CN"/>
              </w:rPr>
              <w:t xml:space="preserve">提供的技术方案，包含但不限于以下内容：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（1）项目背景分析；</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（2）对需求的理解；</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（二）评审依据：</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1.考察以上内容,每满足任意一项内容得30%，最高得60%。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2.在上述基础上，专家根据各投标人的具体响应内容按照量化的评审因素指标进一步评审。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（1）方案总体设计科学合理对招标要求应答完整、清晰、有针对性的，评审为优加40%；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（2）方案总体设计较合理的，评审为良加20%；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（3）方案总体设计一般的，评审为中加10%；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（4）方案总体设计不完整的，评审为差不加分。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eastAsia="宋体" w:cs="宋体"/>
                <w:szCs w:val="28"/>
                <w:lang w:val="en-US" w:eastAsia="zh-CN"/>
              </w:rPr>
              <w:t xml:space="preserve">（5）不提供不得分。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2.2</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实施方案</w:t>
            </w:r>
            <w:r/>
          </w:p>
        </w:tc>
        <w:tc>
          <w:tcPr>
            <w:tcMar>
              <w:left w:w="108" w:type="dxa"/>
              <w:top w:w="0" w:type="dxa"/>
              <w:right w:w="108" w:type="dxa"/>
              <w:bottom w:w="0" w:type="dxa"/>
            </w:tcMar>
            <w:tcW w:w="2482"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（一）评分内容：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投标人具有成熟可靠的项目实施方案、并具有必要的质量管理措施，能保证项目正常稳定实施并保证产品稳定运行，包含但不限于以下内容：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（1）项目管理方案；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（2）系统实施方案；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（二）评审依据：</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1.考察以上内容,每满足任意一项内容得40%，最高得80%。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2.在上述基础上，专家根据各投标人的具体响应内容按照量化的评审因素指标进一步评审。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（1）方案完整详细，科学合理、贴合实际，针对性强的，评审为优加20%；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（2）方案较完整，较科学合理、贴合实际，针对性较强的，评审为良加10%；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（3）方案简单、科学合理性一般，针对性一般的，评审为中加5%；</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（4）方案总体设计不完整的，评审为差不加分。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eastAsia="宋体" w:cs="宋体"/>
                <w:szCs w:val="28"/>
                <w:lang w:val="en-US" w:eastAsia="zh-CN"/>
              </w:rPr>
              <w:t xml:space="preserve">（5）不提供不得分。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2.3</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售后服务</w:t>
            </w:r>
            <w:r/>
          </w:p>
        </w:tc>
        <w:tc>
          <w:tcPr>
            <w:tcMar>
              <w:left w:w="108" w:type="dxa"/>
              <w:top w:w="0" w:type="dxa"/>
              <w:right w:w="108" w:type="dxa"/>
              <w:bottom w:w="0" w:type="dxa"/>
            </w:tcMar>
            <w:tcW w:w="2482"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（一）评分内容：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投标人针对本项目提供详细的售后服务方案，包含但不限于以下内容：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（1）运维服务方案；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（2）应急响应方案；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（3）保障方案。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（二）评审依据：</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1.考察以上内容,每满足任意一项内容得20%，最高得60%。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2.在上述基础上，专家根据各投标人的具体响应内容按照量化的评审因素指标进一步评审。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（1）方案整体全面、完整的，评审为优加40%；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（2）方案较为全面、完整的，评审为良加20%；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（3）方案不够详细，较为粗略的，评审为中加10%；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（4）方案总体设计不完整的，评审为差不加分。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（5）不提供不得分。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2.4</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培训方案</w:t>
            </w:r>
            <w:r/>
          </w:p>
        </w:tc>
        <w:tc>
          <w:tcPr>
            <w:tcMar>
              <w:left w:w="108" w:type="dxa"/>
              <w:top w:w="0" w:type="dxa"/>
              <w:right w:w="108" w:type="dxa"/>
              <w:bottom w:w="0" w:type="dxa"/>
            </w:tcMar>
            <w:tcW w:w="2482"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（一）评分内容：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投标人针对本项目提供详细的培训方案，包含但不限于以下内容：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（1）培训内容；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（2）培训时间、地点安排；</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（3）培训目标、培训人数、和培训方法。</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（二）评审依据：</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1.考察以上内容,每满足任意一项内容得20%，最高得60%。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2.在上述基础上，专家根据各投标人的具体响应内容按照量化的评审因素指标进一步评审。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（1）方案内容完整，可行性强、思路清晰、有重难点、结合实际分析表述详尽，评审为优加40%;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（2）方案内容较完整，可行性较强、思路较清晰、有重难点、结合实际分析表述较详尽，评审为良加20%;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（3）方案内容一般，思路一般，可行性一般，评审为中加10%;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（4）方案内容不完整，思路不清晰，无可行性，评审为差不加分;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（5）未提供的不得分。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商务</w:t>
            </w:r>
            <w:r>
              <w:rPr>
                <w:rFonts w:hint="eastAsia" w:ascii="宋体" w:hAnsi="宋体" w:eastAsia="宋体" w:cs="宋体"/>
                <w:b/>
                <w:bCs w:val="0"/>
                <w:sz w:val="28"/>
                <w:szCs w:val="28"/>
                <w:lang w:val="en-US" w:eastAsia="zh-CN"/>
              </w:rPr>
              <w:t xml:space="preserve">部分</w:t>
            </w:r>
            <w:r>
              <w:rPr>
                <w:rFonts w:hint="eastAsia" w:ascii="宋体" w:hAnsi="宋体" w:eastAsia="宋体" w:cs="宋体"/>
                <w:b/>
                <w:bCs w:val="0"/>
                <w:sz w:val="28"/>
                <w:szCs w:val="28"/>
              </w:rPr>
              <w:t xml:space="preserve">（客观分）</w:t>
            </w:r>
            <w:r/>
          </w:p>
        </w:tc>
        <w:tc>
          <w:tcPr>
            <w:tcMar>
              <w:left w:w="108" w:type="dxa"/>
              <w:top w:w="0" w:type="dxa"/>
              <w:right w:w="108" w:type="dxa"/>
              <w:bottom w:w="0" w:type="dxa"/>
            </w:tcMar>
            <w:tcW w:w="248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40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3.1</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认证证书</w:t>
            </w:r>
            <w:r/>
          </w:p>
        </w:tc>
        <w:tc>
          <w:tcPr>
            <w:tcMar>
              <w:left w:w="108" w:type="dxa"/>
              <w:top w:w="0" w:type="dxa"/>
              <w:right w:w="108" w:type="dxa"/>
              <w:bottom w:w="0" w:type="dxa"/>
            </w:tcMar>
            <w:tcW w:w="2482"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b/>
                <w:bCs/>
                <w:szCs w:val="28"/>
                <w:lang w:val="en-US" w:eastAsia="zh-CN"/>
              </w:rPr>
              <w:suppressLineNumbers w:val="0"/>
            </w:pPr>
            <w:r>
              <w:rPr>
                <w:rFonts w:hint="eastAsia" w:ascii="宋体" w:hAnsi="宋体" w:eastAsia="宋体" w:cs="宋体"/>
                <w:b/>
                <w:bCs/>
                <w:szCs w:val="28"/>
                <w:lang w:val="en-US" w:eastAsia="zh-CN"/>
              </w:rPr>
              <w:t xml:space="preserve">投标人具有国家认可且在有效期内的：</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（1）质量管理体系认证证书得2分；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（2）信息技术服务管理体系认证证书得2分；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（3）信息安全管理体系认证证书得2分；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（4)商品售后服务评价体系认证证书（认证范围包含计算机应用软件和计算机系统集成运维服务）得4分。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本项最高得10分。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rPr>
              <w:suppressLineNumbers w:val="0"/>
            </w:pPr>
            <w:r>
              <w:rPr>
                <w:rFonts w:hint="eastAsia" w:ascii="宋体" w:hAnsi="宋体" w:eastAsia="宋体" w:cs="宋体"/>
                <w:b/>
                <w:bCs/>
                <w:color w:val="ff0000"/>
                <w:sz w:val="28"/>
                <w:szCs w:val="28"/>
                <w:highlight w:val="none"/>
                <w:lang w:val="en-US" w:eastAsia="zh-CN"/>
              </w:rPr>
              <w:t xml:space="preserve">注：1.提供有效期内的相关证书材料。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ff0000"/>
                <w:sz w:val="28"/>
                <w:szCs w:val="28"/>
                <w:highlight w:val="none"/>
                <w:lang w:val="en-US" w:eastAsia="zh-CN"/>
              </w:rPr>
              <w:t xml:space="preserve">2.未按要求提供或提供不清晰导致专家无法判断的不得分。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10</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3.2</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投标人业绩</w:t>
            </w:r>
            <w:r/>
          </w:p>
        </w:tc>
        <w:tc>
          <w:tcPr>
            <w:tcMar>
              <w:left w:w="108" w:type="dxa"/>
              <w:top w:w="0" w:type="dxa"/>
              <w:right w:w="108" w:type="dxa"/>
              <w:bottom w:w="0" w:type="dxa"/>
            </w:tcMar>
            <w:tcW w:w="2482"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投标人自2022年1月1日以来（至投标响应截止时间）承担过类似云服务案例的，有一个得2分，本项最高得6分。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注：1.提供合同证明材料。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2.项目业绩时间以合同签订时间为准。</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3.同一业主单位同一项目不同年度的业绩不重复计分。</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 w:val="28"/>
                <w:szCs w:val="28"/>
                <w:highlight w:val="none"/>
                <w:lang w:val="en-US" w:eastAsia="zh-CN"/>
              </w:rPr>
              <w:t xml:space="preserve">4.未按要求提供或提供不清晰导致专家无法判断的不得分。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6</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3.3</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项目负责人</w:t>
            </w:r>
            <w:r/>
          </w:p>
        </w:tc>
        <w:tc>
          <w:tcPr>
            <w:tcMar>
              <w:left w:w="108" w:type="dxa"/>
              <w:top w:w="0" w:type="dxa"/>
              <w:right w:w="108" w:type="dxa"/>
              <w:bottom w:w="0" w:type="dxa"/>
            </w:tcMar>
            <w:tcW w:w="2482"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b/>
                <w:bCs/>
                <w:szCs w:val="28"/>
                <w:lang w:val="en-US" w:eastAsia="zh-CN"/>
              </w:rPr>
              <w:suppressLineNumbers w:val="0"/>
            </w:pPr>
            <w:r>
              <w:rPr>
                <w:rFonts w:hint="eastAsia" w:ascii="宋体" w:hAnsi="宋体" w:eastAsia="宋体" w:cs="宋体"/>
                <w:b/>
                <w:bCs/>
                <w:szCs w:val="28"/>
                <w:lang w:val="en-US" w:eastAsia="zh-CN"/>
              </w:rPr>
              <w:t xml:space="preserve">投标人拟派本项目项目经理具有（限评1人，不得兼职）：</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（1）信息系统项目管理师的得3分；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（2）IT服务项目经理证书得3分；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（3）系统规划与管理师证书得3分；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（4）信息安全保障人员（应急服务）得3分；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本大项最高得12分。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注：1.提供相关证书证明材料；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2.提供投标人为其缴纳的近半年（响应文件提交截止时间往前推）任意一个月的社保缴纳证明材料；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color w:val="ff0000"/>
                <w:sz w:val="28"/>
                <w:szCs w:val="28"/>
                <w:highlight w:val="none"/>
                <w:lang w:val="en-US" w:eastAsia="zh-CN"/>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12</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3.4</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安全负责人</w:t>
            </w:r>
            <w:r/>
          </w:p>
        </w:tc>
        <w:tc>
          <w:tcPr>
            <w:tcMar>
              <w:left w:w="108" w:type="dxa"/>
              <w:top w:w="0" w:type="dxa"/>
              <w:right w:w="108" w:type="dxa"/>
              <w:bottom w:w="0" w:type="dxa"/>
            </w:tcMar>
            <w:tcW w:w="2482"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b/>
                <w:bCs/>
                <w:szCs w:val="28"/>
                <w:lang w:val="en-US" w:eastAsia="zh-CN"/>
              </w:rPr>
              <w:suppressLineNumbers w:val="0"/>
            </w:pPr>
            <w:r>
              <w:rPr>
                <w:rFonts w:hint="eastAsia" w:ascii="宋体" w:hAnsi="宋体" w:eastAsia="宋体" w:cs="宋体"/>
                <w:b/>
                <w:bCs/>
                <w:szCs w:val="28"/>
                <w:lang w:val="en-US" w:eastAsia="zh-CN"/>
              </w:rPr>
              <w:t xml:space="preserve">投标人拟派本项目安全负责人具有（限评1人，不得兼职）：</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（1）注册信息安全专业人员证书的得3分；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（2）网络安全能力认证-网络安全管理II级证书的得3分；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（3）信息安全保障人员证书（安全运维）的得3分；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（4）通信专业技术人员职业资格认证证书的得3分；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本大项最高得12分。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注：1.提供相关证书证明材料；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2.提供投标人为其缴纳的近半年（响应文件提交截止时间往前推）任意一个月的社保缴纳证明材料；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color w:val="ff0000"/>
                <w:sz w:val="28"/>
                <w:szCs w:val="28"/>
                <w:highlight w:val="none"/>
                <w:lang w:val="en-US" w:eastAsia="zh-CN"/>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12</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bl>
    <w:p>
      <w:pPr>
        <w:ind w:firstLine="560"/>
        <w:pageBreakBefore w:val="0"/>
        <w:rPr>
          <w:rFonts w:hint="eastAsia" w:ascii="宋体" w:hAnsi="宋体" w:cs="宋体"/>
          <w:szCs w:val="28"/>
          <w:lang w:val="en-US" w:eastAsia="zh-CN"/>
        </w:rPr>
      </w:pPr>
      <w:r>
        <w:rPr>
          <w:rFonts w:hint="eastAsia" w:ascii="宋体" w:hAnsi="宋体" w:cs="宋体"/>
          <w:szCs w:val="28"/>
          <w:lang w:val="en-US" w:eastAsia="zh-CN"/>
        </w:rPr>
      </w:r>
      <w:r/>
    </w:p>
    <w:p>
      <w:pPr>
        <w:ind w:firstLine="562"/>
        <w:jc w:val="center"/>
        <w:pageBreakBefore w:val="0"/>
        <w:rPr>
          <w:rFonts w:hint="default" w:ascii="宋体" w:hAnsi="宋体" w:eastAsia="宋体" w:cs="宋体"/>
          <w:b/>
          <w:bCs/>
          <w:szCs w:val="28"/>
          <w:lang w:val="en-US" w:eastAsia="zh-CN"/>
        </w:rPr>
      </w:pPr>
      <w:r>
        <w:rPr>
          <w:rFonts w:hint="eastAsia" w:ascii="宋体" w:hAnsi="宋体" w:cs="宋体"/>
          <w:b/>
          <w:bCs/>
          <w:szCs w:val="28"/>
          <w:lang w:val="en-US" w:eastAsia="zh-CN"/>
        </w:rPr>
        <w:t xml:space="preserve">02包至04包评标标准一致</w:t>
      </w:r>
      <w:r/>
    </w:p>
    <w:tbl>
      <w:tblPr>
        <w:tblStyle w:val="1097"/>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7"/>
        <w:gridCol w:w="1075"/>
        <w:gridCol w:w="4848"/>
        <w:gridCol w:w="822"/>
        <w:gridCol w:w="632"/>
        <w:gridCol w:w="755"/>
        <w:gridCol w:w="753"/>
      </w:tblGrid>
      <w:tr>
        <w:trPr>
          <w:trHeight w:val="420"/>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48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484"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val="0"/>
                <w:bCs/>
                <w:sz w:val="28"/>
                <w:szCs w:val="28"/>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10</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551"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484" w:type="pct"/>
            <w:vAlign w:val="center"/>
            <w:textDirection w:val="lrTb"/>
            <w:noWrap w:val="false"/>
          </w:tcPr>
          <w:p>
            <w:pPr>
              <w:ind w:left="0" w:right="0" w:firstLine="0"/>
              <w:jc w:val="left"/>
              <w:keepLines w:val="0"/>
              <w:keepNext w:val="0"/>
              <w:spacing w:before="0" w:beforeAutospacing="0" w:after="0" w:afterAutospacing="0"/>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36</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2.1</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技术方案 </w:t>
            </w:r>
            <w:r/>
          </w:p>
        </w:tc>
        <w:tc>
          <w:tcPr>
            <w:tcMar>
              <w:left w:w="108" w:type="dxa"/>
              <w:top w:w="0" w:type="dxa"/>
              <w:right w:w="108" w:type="dxa"/>
              <w:bottom w:w="0" w:type="dxa"/>
            </w:tcMar>
            <w:tcW w:w="2484"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rPr>
              <w:suppressLineNumbers w:val="0"/>
            </w:pPr>
            <w:r>
              <w:rPr>
                <w:rFonts w:hint="eastAsia" w:ascii="宋体" w:hAnsi="宋体" w:eastAsia="宋体" w:cs="宋体"/>
                <w:szCs w:val="28"/>
                <w:lang w:val="en-US" w:eastAsia="zh-CN"/>
              </w:rPr>
              <w:t xml:space="preserve">（一）</w:t>
            </w:r>
            <w:r>
              <w:rPr>
                <w:rFonts w:hint="eastAsia" w:ascii="宋体" w:hAnsi="宋体" w:eastAsia="宋体" w:cs="宋体"/>
                <w:szCs w:val="28"/>
                <w:lang w:val="en-US"/>
              </w:rPr>
              <w:t xml:space="preserve">评分内容：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w:t>
            </w:r>
            <w:r>
              <w:rPr>
                <w:rFonts w:hint="eastAsia" w:ascii="宋体" w:hAnsi="宋体" w:eastAsia="宋体" w:cs="宋体"/>
                <w:szCs w:val="28"/>
              </w:rPr>
              <w:t xml:space="preserve">人针对本项目</w:t>
            </w:r>
            <w:r>
              <w:rPr>
                <w:rFonts w:hint="eastAsia" w:ascii="宋体" w:hAnsi="宋体" w:eastAsia="宋体" w:cs="宋体"/>
                <w:szCs w:val="28"/>
                <w:lang w:val="en-US" w:eastAsia="zh-CN"/>
              </w:rPr>
              <w:t xml:space="preserve">提供的技术方案，包含但不限于以下内容：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（1）项目背景分析；</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（2）对需求的理解；</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（二）评审依据：</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1.考察以上内容,每满足任意一项内容得30%，最高得60%。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2.在上述基础上，专家根据各投标人的具体响应内容按照量化的评审因素指标进一步评审。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（1）方案总体设计科学合理对招标要求应答完整、清晰、有针对性的，评审为优加40%；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（2）方案总体设计较合理的，评审为良加20%；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（3）方案总体设计一般的，评审为中加10%；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（4）方案总体设计不完整的，评审为差不加分。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eastAsia="宋体" w:cs="宋体"/>
                <w:szCs w:val="28"/>
                <w:lang w:val="en-US" w:eastAsia="zh-CN"/>
              </w:rPr>
              <w:t xml:space="preserve">（5）不提供不得分。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10</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是</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2.2</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实施方案</w:t>
            </w:r>
            <w:r/>
          </w:p>
        </w:tc>
        <w:tc>
          <w:tcPr>
            <w:tcMar>
              <w:left w:w="108" w:type="dxa"/>
              <w:top w:w="0" w:type="dxa"/>
              <w:right w:w="108" w:type="dxa"/>
              <w:bottom w:w="0" w:type="dxa"/>
            </w:tcMar>
            <w:tcW w:w="2484"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（一）评分内容：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投标人具有成熟可靠的项目实施方案、并具有必要的质量管理措施，能保证项目正常稳定实施并保证产品稳定运行，包含但不限于以下内容：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（1）项目管理方案；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（2）系统实施方案；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（二）评审依据：</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1.考察以上内容,每满足任意一项内容得40%，最高得80%。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2.在上述基础上，专家根据各投标人的具体响应内容按照量化的评审因素指标进一步评审。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（1）方案完整详细，科学合理、贴合实际，针对性强的，评审为优加20%；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（2）方案较完整，较科学合理、贴合实际，针对性较强的，评审为良加10%；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（3）方案简单、科学合理性一般，针对性一般的，评审为中加5%；</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（4）方案总体设计不完整的，评审为差不加分。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val="0"/>
                <w:bCs/>
                <w:sz w:val="28"/>
                <w:szCs w:val="28"/>
              </w:rPr>
              <w:suppressLineNumbers w:val="0"/>
            </w:pPr>
            <w:r>
              <w:rPr>
                <w:rFonts w:hint="eastAsia" w:ascii="宋体" w:hAnsi="宋体" w:eastAsia="宋体" w:cs="宋体"/>
                <w:szCs w:val="28"/>
                <w:lang w:val="en-US" w:eastAsia="zh-CN"/>
              </w:rPr>
              <w:t xml:space="preserve">（5）不提供不得分。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10</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是</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2.3</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售后服务</w:t>
            </w:r>
            <w:r/>
          </w:p>
        </w:tc>
        <w:tc>
          <w:tcPr>
            <w:tcMar>
              <w:left w:w="108" w:type="dxa"/>
              <w:top w:w="0" w:type="dxa"/>
              <w:right w:w="108" w:type="dxa"/>
              <w:bottom w:w="0" w:type="dxa"/>
            </w:tcMar>
            <w:tcW w:w="2484"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（一）评分内容：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投标人针对本项目提供详细的售后服务方案，包含但不限于以下内容：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（1）运维服务方案；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（2）应急响应方案；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（3）保障方案。</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（二）评审依据：</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1.考察以上内容,每满足任意一项内容得20%，最高得60%。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2.在上述基础上，专家根据各投标人的具体响应内容按照量化的评审因素指标进一步评审。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（1）方案整体全面、完整的，评审为优加40%；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（2）方案较为全面、完整的，评审为良加20%；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（3）方案不够详细，较为粗略的，评审为中加10%；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（4）方案总体设计不完整的，评审为差不加分。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（5）不提供不得分。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10</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是</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2.4</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培训方案</w:t>
            </w:r>
            <w:r/>
          </w:p>
        </w:tc>
        <w:tc>
          <w:tcPr>
            <w:tcMar>
              <w:left w:w="108" w:type="dxa"/>
              <w:top w:w="0" w:type="dxa"/>
              <w:right w:w="108" w:type="dxa"/>
              <w:bottom w:w="0" w:type="dxa"/>
            </w:tcMar>
            <w:tcW w:w="2484"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（一）评分内容：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投标人针对本项目提供详细的培训方案，包含但不限于以下内容：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（1）培训内容；</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（2）培训时间、地点安排；</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（3）培训目标、培训人数、和培训方法。</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（二）评审依据：</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1.考察以上内容,每满足任意一项内容得20%，最高得60%。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2.在上述基础上，专家根据各投标人的具体响应内容按照量化的评审因素指标进一步评审。</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（1）方案内容完整，可行性强、思路清晰、有重难点、结合实际分析表述详尽，评审为优加40%;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（2）方案内容较完整，可行性较强、思路较清晰、有重难点、结合实际分析表述较详尽，评审为良加20%;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（3）方案内容一般，思路一般，可行性一般，评审为中加10%;</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（4）方案内容不完整，思路不清晰，无可行性，评审为差不加分;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（5）未提供的不得分。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6</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是</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rPr>
              <w:t xml:space="preserve">否</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商务部分（客观分）</w:t>
            </w:r>
            <w:r/>
          </w:p>
        </w:tc>
        <w:tc>
          <w:tcPr>
            <w:tcMar>
              <w:left w:w="108" w:type="dxa"/>
              <w:top w:w="0" w:type="dxa"/>
              <w:right w:w="108" w:type="dxa"/>
              <w:bottom w:w="0" w:type="dxa"/>
            </w:tcMar>
            <w:tcW w:w="248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54</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否</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3.1</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企业实力</w:t>
            </w:r>
            <w:r/>
          </w:p>
        </w:tc>
        <w:tc>
          <w:tcPr>
            <w:tcMar>
              <w:left w:w="108" w:type="dxa"/>
              <w:top w:w="0" w:type="dxa"/>
              <w:right w:w="108" w:type="dxa"/>
              <w:bottom w:w="0" w:type="dxa"/>
            </w:tcMar>
            <w:tcW w:w="2484"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b/>
                <w:bCs/>
                <w:szCs w:val="28"/>
                <w:lang w:val="en-US" w:eastAsia="zh-CN"/>
              </w:rPr>
              <w:suppressLineNumbers w:val="0"/>
            </w:pPr>
            <w:r>
              <w:rPr>
                <w:rFonts w:hint="eastAsia" w:ascii="宋体" w:hAnsi="宋体" w:eastAsia="宋体" w:cs="宋体"/>
                <w:b/>
                <w:bCs/>
                <w:szCs w:val="28"/>
                <w:lang w:val="en-US" w:eastAsia="zh-CN"/>
              </w:rPr>
              <w:t xml:space="preserve">投标人具有国家认可且在有效期内的：</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（1）质量管理体系认证证书得4分；</w:t>
            </w:r>
            <w:r/>
          </w:p>
          <w:p>
            <w:pPr>
              <w:ind w:left="0" w:right="0" w:firstLine="0"/>
              <w:keepLines w:val="0"/>
              <w:keepNext w:val="0"/>
              <w:pageBreakBefore w:val="0"/>
              <w:spacing w:before="0" w:beforeAutospacing="0" w:after="0" w:afterAutospacing="0" w:line="420" w:lineRule="exact"/>
              <w:rPr>
                <w:rFonts w:hint="default"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（2）信息系统安全集成服务资质得4分；</w:t>
            </w:r>
            <w:r/>
          </w:p>
          <w:p>
            <w:pPr>
              <w:ind w:left="0" w:right="0" w:firstLine="0"/>
              <w:keepLines w:val="0"/>
              <w:keepNext w:val="0"/>
              <w:pageBreakBefore w:val="0"/>
              <w:spacing w:before="0" w:beforeAutospacing="0" w:after="0" w:afterAutospacing="0" w:line="420" w:lineRule="exact"/>
              <w:rPr>
                <w:rFonts w:hint="default"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（3）信息系统业务安全运维服务资质得4分；</w:t>
            </w:r>
            <w:r/>
          </w:p>
          <w:p>
            <w:pPr>
              <w:ind w:left="0" w:right="0" w:firstLine="0"/>
              <w:keepLines w:val="0"/>
              <w:keepNext w:val="0"/>
              <w:pageBreakBefore w:val="0"/>
              <w:spacing w:before="0" w:beforeAutospacing="0" w:after="0" w:afterAutospacing="0" w:line="420" w:lineRule="exact"/>
              <w:rPr>
                <w:rFonts w:hint="default"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（4）售后服务评价体系认证证书得4分；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（5）信息系统业务安全服务资质证书得4分；</w:t>
            </w:r>
            <w:r/>
          </w:p>
          <w:p>
            <w:pPr>
              <w:ind w:left="0" w:right="0" w:firstLine="0"/>
              <w:keepLines w:val="0"/>
              <w:keepNext w:val="0"/>
              <w:pageBreakBefore w:val="0"/>
              <w:spacing w:before="0" w:beforeAutospacing="0" w:after="0" w:afterAutospacing="0" w:line="420" w:lineRule="exact"/>
              <w:rPr>
                <w:rFonts w:hint="default"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本项最高得分20分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rPr>
              <w:suppressLineNumbers w:val="0"/>
            </w:pPr>
            <w:r>
              <w:rPr>
                <w:rFonts w:hint="eastAsia" w:ascii="宋体" w:hAnsi="宋体" w:eastAsia="宋体" w:cs="宋体"/>
                <w:b/>
                <w:bCs/>
                <w:color w:val="ff0000"/>
                <w:sz w:val="28"/>
                <w:szCs w:val="28"/>
                <w:highlight w:val="none"/>
                <w:lang w:val="en-US" w:eastAsia="zh-CN"/>
              </w:rPr>
              <w:t xml:space="preserve">注：1.提供有效期内的相关证书材料。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ff0000"/>
                <w:sz w:val="28"/>
                <w:szCs w:val="28"/>
                <w:highlight w:val="none"/>
                <w:lang w:val="en-US" w:eastAsia="zh-CN"/>
              </w:rPr>
              <w:t xml:space="preserve">2.未按要求提供或提供不清晰导致专家无法判断的不得分。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20</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3.2</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项目组成员</w:t>
            </w:r>
            <w:r/>
          </w:p>
        </w:tc>
        <w:tc>
          <w:tcPr>
            <w:tcMar>
              <w:left w:w="108" w:type="dxa"/>
              <w:top w:w="0" w:type="dxa"/>
              <w:right w:w="108" w:type="dxa"/>
              <w:bottom w:w="0" w:type="dxa"/>
            </w:tcMar>
            <w:tcW w:w="2484"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b/>
                <w:bCs/>
                <w:szCs w:val="28"/>
                <w:lang w:val="en-US" w:eastAsia="zh-CN"/>
              </w:rPr>
              <w:suppressLineNumbers w:val="0"/>
            </w:pPr>
            <w:r>
              <w:rPr>
                <w:rFonts w:hint="eastAsia" w:ascii="宋体" w:hAnsi="宋体" w:eastAsia="宋体" w:cs="宋体"/>
                <w:b/>
                <w:bCs/>
                <w:szCs w:val="28"/>
                <w:lang w:val="en-US" w:eastAsia="zh-CN"/>
              </w:rPr>
              <w:t xml:space="preserve">1.投标人为本项目拟派的项目负责人具有：（限评1人，不得兼职）</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（1）高级信息系统项目管理师证书，得2分；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（2）IT服务项目经理证书得2分；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（3）信息系统业务安全服务工程师认证证书得2分；           </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（4）信息安全保障人员证书-专业级-应急服务证书，得2分。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本项最高得8分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bCs/>
                <w:szCs w:val="28"/>
                <w:lang w:val="en-US" w:eastAsia="zh-CN"/>
              </w:rPr>
              <w:suppressLineNumbers w:val="0"/>
            </w:pPr>
            <w:r>
              <w:rPr>
                <w:rFonts w:hint="eastAsia" w:ascii="宋体" w:hAnsi="宋体" w:eastAsia="宋体" w:cs="宋体"/>
                <w:b/>
                <w:bCs/>
                <w:szCs w:val="28"/>
                <w:lang w:val="en-US" w:eastAsia="zh-CN"/>
              </w:rPr>
              <w:t xml:space="preserve">2.投标人为本项目拟派的技术负责人具有：（限评1人，不得兼职）</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（1）系统架构设计师证书得2分；                </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（2）系统规划与管理师证书得2分；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（3）信息安全保障人员认证证书 （风险管理(专业级)得2分；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（4）信息安全保障人员认证证书（安全运维(专业级)得2分。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本项最高得8分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bCs/>
                <w:szCs w:val="28"/>
                <w:lang w:val="en-US" w:eastAsia="zh-CN"/>
              </w:rPr>
              <w:suppressLineNumbers w:val="0"/>
            </w:pPr>
            <w:r>
              <w:rPr>
                <w:rFonts w:hint="eastAsia" w:ascii="宋体" w:hAnsi="宋体" w:eastAsia="宋体" w:cs="宋体"/>
                <w:b/>
                <w:bCs/>
                <w:szCs w:val="28"/>
                <w:lang w:val="en-US" w:eastAsia="zh-CN"/>
              </w:rPr>
              <w:t xml:space="preserve">3.投标人为本项目配备的售后工程师具有：（限评1人，不得兼职）</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（1）网络与信息安全管理员证书得2分；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（2）售后服务管理师证书得2分；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（3）信息通信网络运行管理员证书得2分；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（4）智能化系统集成项目经理证书得2分。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本项最高得分8分。</w:t>
            </w:r>
            <w:r/>
          </w:p>
          <w:p>
            <w:pPr>
              <w:ind w:left="0" w:right="0" w:firstLine="0"/>
              <w:keepLines w:val="0"/>
              <w:keepNext w:val="0"/>
              <w:pageBreakBefore w:val="0"/>
              <w:spacing w:before="0" w:beforeAutospacing="0" w:after="0" w:afterAutospacing="0" w:line="420" w:lineRule="exact"/>
              <w:rPr>
                <w:rFonts w:hint="eastAsia" w:ascii="宋体" w:hAnsi="宋体" w:eastAsia="宋体" w:cs="宋体"/>
                <w:b/>
                <w:bCs/>
                <w:szCs w:val="28"/>
                <w:lang w:val="en-US" w:eastAsia="zh-CN"/>
              </w:rPr>
              <w:suppressLineNumbers w:val="0"/>
            </w:pPr>
            <w:r>
              <w:rPr>
                <w:rFonts w:hint="eastAsia" w:ascii="宋体" w:hAnsi="宋体" w:eastAsia="宋体" w:cs="宋体"/>
                <w:b/>
                <w:bCs/>
                <w:szCs w:val="28"/>
                <w:lang w:val="en-US" w:eastAsia="zh-CN"/>
              </w:rPr>
              <w:t xml:space="preserve">本大项最高得分24分。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rPr>
              <w:suppressLineNumbers w:val="0"/>
            </w:pPr>
            <w:r>
              <w:rPr>
                <w:rFonts w:hint="eastAsia" w:ascii="宋体" w:hAnsi="宋体" w:eastAsia="宋体" w:cs="宋体"/>
                <w:b/>
                <w:bCs/>
                <w:color w:val="ff0000"/>
                <w:sz w:val="28"/>
                <w:szCs w:val="28"/>
                <w:highlight w:val="none"/>
              </w:rPr>
              <w:t xml:space="preserve">注：1.提供相关证书证明材料；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rPr>
              <w:suppressLineNumbers w:val="0"/>
            </w:pPr>
            <w:r>
              <w:rPr>
                <w:rFonts w:hint="eastAsia" w:ascii="宋体" w:hAnsi="宋体" w:eastAsia="宋体" w:cs="宋体"/>
                <w:b/>
                <w:bCs/>
                <w:color w:val="ff0000"/>
                <w:sz w:val="28"/>
                <w:szCs w:val="28"/>
                <w:highlight w:val="none"/>
              </w:rPr>
              <w:t xml:space="preserve">2.提供投标人为其缴纳的近半年（</w:t>
            </w:r>
            <w:r>
              <w:rPr>
                <w:rFonts w:hint="eastAsia" w:ascii="宋体" w:hAnsi="宋体" w:eastAsia="宋体" w:cs="宋体"/>
                <w:b/>
                <w:bCs/>
                <w:color w:val="ff0000"/>
                <w:sz w:val="28"/>
                <w:szCs w:val="28"/>
                <w:highlight w:val="none"/>
                <w:lang w:val="en-US" w:eastAsia="zh-CN"/>
              </w:rPr>
              <w:t xml:space="preserve">投标</w:t>
            </w:r>
            <w:r>
              <w:rPr>
                <w:rFonts w:hint="eastAsia" w:ascii="宋体" w:hAnsi="宋体" w:eastAsia="宋体" w:cs="宋体"/>
                <w:b/>
                <w:bCs/>
                <w:color w:val="ff0000"/>
                <w:sz w:val="28"/>
                <w:szCs w:val="28"/>
                <w:highlight w:val="none"/>
              </w:rPr>
              <w:t xml:space="preserve">文件提交截止时间往前推）任意一个月的社保缴纳证明材料；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24</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3.3</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投标人业绩</w:t>
            </w:r>
            <w:r/>
          </w:p>
        </w:tc>
        <w:tc>
          <w:tcPr>
            <w:tcMar>
              <w:left w:w="108" w:type="dxa"/>
              <w:top w:w="0" w:type="dxa"/>
              <w:right w:w="108" w:type="dxa"/>
              <w:bottom w:w="0" w:type="dxa"/>
            </w:tcMar>
            <w:tcW w:w="2484"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投标人近三年（自投标截止日期往前推）承担过医疗行业云桌面项目业绩，每提供一个得1分，最高得5分。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注：1.提供合同材料。</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2.项目业绩时间以合同签订时间为准。若合同中无法体现合同签订时间、项目内容等关键评审因素的，须同时提供业主（合同甲方）证明材料，否则不得分，正在履约业绩未完成验收的不予认可，未提供不得分。</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3.同一业主单位同一项目不同年度的业绩不重复计分。</w:t>
            </w:r>
            <w:r/>
          </w:p>
          <w:p>
            <w:pPr>
              <w:ind w:left="0" w:right="0" w:firstLine="562"/>
              <w:jc w:val="left"/>
              <w:keepLines/>
              <w:keepNext/>
              <w:pageBreakBefore w:val="0"/>
              <w:spacing w:before="0" w:beforeAutospacing="0" w:after="0" w:afterAutospacing="0" w:line="48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 w:val="28"/>
                <w:szCs w:val="28"/>
                <w:highlight w:val="none"/>
                <w:lang w:val="en-US" w:eastAsia="zh-CN"/>
              </w:rPr>
              <w:t xml:space="preserve">4.</w:t>
            </w:r>
            <w:r>
              <w:rPr>
                <w:rFonts w:hint="default" w:ascii="宋体" w:hAnsi="宋体" w:eastAsia="宋体" w:cs="宋体"/>
                <w:b/>
                <w:bCs/>
                <w:color w:val="ff0000"/>
                <w:sz w:val="28"/>
                <w:szCs w:val="28"/>
                <w:highlight w:val="none"/>
                <w:lang w:val="en-US" w:eastAsia="zh-CN"/>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5</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r>
      <w:tr>
        <w:trPr>
          <w:trHeight w:val="482"/>
        </w:trPr>
        <w:tc>
          <w:tcPr>
            <w:tcW w:w="44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3.4</w:t>
            </w:r>
            <w:r/>
          </w:p>
        </w:tc>
        <w:tc>
          <w:tcPr>
            <w:tcMar>
              <w:left w:w="108" w:type="dxa"/>
              <w:top w:w="0" w:type="dxa"/>
              <w:right w:w="108" w:type="dxa"/>
              <w:bottom w:w="0" w:type="dxa"/>
            </w:tcMar>
            <w:tcW w:w="55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服务承诺</w:t>
            </w:r>
            <w:r/>
          </w:p>
        </w:tc>
        <w:tc>
          <w:tcPr>
            <w:tcMar>
              <w:left w:w="108" w:type="dxa"/>
              <w:top w:w="0" w:type="dxa"/>
              <w:right w:w="108" w:type="dxa"/>
              <w:bottom w:w="0" w:type="dxa"/>
            </w:tcMar>
            <w:tcW w:w="2484" w:type="pct"/>
            <w:vAlign w:val="center"/>
            <w:textDirection w:val="lrTb"/>
            <w:noWrap w:val="false"/>
          </w:tcPr>
          <w:p>
            <w:pPr>
              <w:ind w:left="0" w:right="0" w:firstLine="0"/>
              <w:keepLines w:val="0"/>
              <w:keepNext w:val="0"/>
              <w:pageBreakBefore w:val="0"/>
              <w:spacing w:before="0" w:beforeAutospacing="0" w:after="0" w:afterAutospacing="0" w:line="420" w:lineRule="exact"/>
              <w:rPr>
                <w:rFonts w:hint="eastAsia" w:ascii="宋体" w:hAnsi="宋体" w:eastAsia="宋体" w:cs="宋体"/>
                <w:szCs w:val="28"/>
                <w:lang w:val="en-US" w:eastAsia="zh-CN"/>
              </w:rPr>
              <w:suppressLineNumbers w:val="0"/>
            </w:pPr>
            <w:r>
              <w:rPr>
                <w:rFonts w:hint="eastAsia" w:ascii="宋体" w:hAnsi="宋体" w:eastAsia="宋体" w:cs="宋体"/>
                <w:szCs w:val="28"/>
                <w:lang w:val="en-US" w:eastAsia="zh-CN"/>
              </w:rPr>
              <w:t xml:space="preserve">投标人针对本项目提供服务承诺函，承诺报障后30分钟响应，1小时处理的得5分。</w:t>
            </w:r>
            <w:r/>
          </w:p>
          <w:p>
            <w:pPr>
              <w:ind w:left="0" w:right="0" w:firstLine="0"/>
              <w:jc w:val="left"/>
              <w:keepLines/>
              <w:keepNext/>
              <w:pageBreakBefore w:val="0"/>
              <w:spacing w:before="0" w:beforeAutospacing="0" w:after="0" w:afterAutospacing="0" w:line="480" w:lineRule="exact"/>
              <w:widowControl/>
              <w:rPr>
                <w:rFonts w:hint="eastAsia" w:ascii="宋体" w:hAnsi="宋体" w:eastAsia="宋体" w:cs="宋体"/>
                <w:b/>
                <w:bCs/>
                <w:color w:val="ff0000"/>
                <w:sz w:val="28"/>
                <w:szCs w:val="28"/>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注：1.提供承诺函（格式自拟）。</w:t>
            </w:r>
            <w:r/>
          </w:p>
          <w:p>
            <w:pPr>
              <w:ind w:left="0" w:right="0" w:firstLine="562"/>
              <w:jc w:val="left"/>
              <w:keepLines/>
              <w:keepNext/>
              <w:pageBreakBefore w:val="0"/>
              <w:spacing w:before="0" w:beforeAutospacing="0" w:after="0" w:afterAutospacing="0" w:line="480" w:lineRule="exact"/>
              <w:widowControl/>
              <w:rPr>
                <w:rFonts w:hint="default" w:ascii="宋体" w:hAnsi="宋体" w:eastAsia="宋体"/>
                <w:sz w:val="24"/>
                <w:szCs w:val="24"/>
                <w:highlight w:val="none"/>
                <w:lang w:val="en-US" w:eastAsia="zh-CN"/>
              </w:rPr>
              <w:suppressLineNumbers w:val="0"/>
            </w:pPr>
            <w:r>
              <w:rPr>
                <w:rFonts w:hint="eastAsia" w:ascii="宋体" w:hAnsi="宋体" w:eastAsia="宋体" w:cs="宋体"/>
                <w:b/>
                <w:bCs/>
                <w:color w:val="ff0000"/>
                <w:sz w:val="28"/>
                <w:szCs w:val="28"/>
                <w:highlight w:val="none"/>
                <w:lang w:val="en-US" w:eastAsia="zh-CN"/>
              </w:rPr>
              <w:t xml:space="preserve">2.</w:t>
            </w:r>
            <w:r>
              <w:rPr>
                <w:rFonts w:hint="default" w:ascii="宋体" w:hAnsi="宋体" w:eastAsia="宋体" w:cs="宋体"/>
                <w:b/>
                <w:bCs/>
                <w:color w:val="ff0000"/>
                <w:sz w:val="28"/>
                <w:szCs w:val="28"/>
                <w:highlight w:val="none"/>
                <w:lang w:val="en-US" w:eastAsia="zh-CN"/>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0</w:t>
            </w:r>
            <w:r/>
          </w:p>
        </w:tc>
        <w:tc>
          <w:tcPr>
            <w:tcW w:w="32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5</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eastAsia="宋体" w:cs="宋体"/>
                <w:b/>
                <w:bCs w:val="0"/>
                <w:sz w:val="28"/>
                <w:szCs w:val="28"/>
                <w:lang w:val="en-US" w:eastAsia="zh-CN"/>
              </w:rPr>
              <w:t xml:space="preserve">是</w:t>
            </w:r>
            <w:r/>
          </w:p>
        </w:tc>
      </w:tr>
    </w:tbl>
    <w:p>
      <w:pPr>
        <w:ind w:left="0"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hint="default" w:eastAsia="宋体" w:cs="Times New Roman"/>
          <w:lang w:val="en-US" w:eastAsia="zh-CN"/>
        </w:rPr>
      </w:pPr>
      <w:r>
        <w:rPr>
          <w:rFonts w:hint="eastAsia" w:eastAsia="宋体" w:cs="Times New Roman"/>
          <w:b/>
          <w:bCs/>
          <w:color w:val="ff0000"/>
          <w:highlight w:val="yellow"/>
        </w:rPr>
        <w:t xml:space="preserve">3.技术部分（篇幅编制要求）：</w:t>
      </w:r>
      <w:r>
        <w:rPr>
          <w:rFonts w:hint="eastAsia" w:cs="Times New Roman"/>
          <w:b/>
          <w:bCs/>
          <w:color w:val="ff0000"/>
          <w:highlight w:val="yellow"/>
          <w:lang w:val="en-US" w:eastAsia="zh-CN"/>
        </w:rPr>
        <w:t xml:space="preserve">01包至04包一致</w:t>
      </w:r>
      <w:r/>
    </w:p>
    <w:p>
      <w:pPr>
        <w:ind w:firstLine="1124"/>
        <w:pageBreakBefore w:val="0"/>
        <w:rPr>
          <w:rFonts w:eastAsia="宋体" w:cs="Times New Roman"/>
        </w:rPr>
      </w:pPr>
      <w:r>
        <w:rPr>
          <w:rFonts w:hint="eastAsia" w:eastAsia="宋体" w:cs="Times New Roman"/>
          <w:b/>
          <w:bCs/>
          <w:color w:val="ff0000"/>
          <w:highlight w:val="yellow"/>
        </w:rPr>
        <w:t xml:space="preserve">技术部分序号2.1</w:t>
      </w:r>
      <w:r>
        <w:rPr>
          <w:rFonts w:hint="eastAsia" w:eastAsia="宋体" w:cs="Times New Roman"/>
          <w:b/>
          <w:bCs/>
          <w:color w:val="ff0000"/>
          <w:highlight w:val="yellow"/>
          <w:lang w:val="en-US" w:eastAsia="zh-CN"/>
        </w:rPr>
        <w:t xml:space="preserve">技术方案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cs="Times New Roman"/>
          <w:lang w:val="en-US" w:eastAsia="zh-CN"/>
        </w:rPr>
        <w:t xml:space="preserve">6</w:t>
      </w:r>
      <w:r>
        <w:rPr>
          <w:rFonts w:hint="eastAsia" w:eastAsia="宋体" w:cs="Times New Roman"/>
        </w:rPr>
        <w:t xml:space="preserve">页，但不得超过</w:t>
      </w:r>
      <w:r>
        <w:rPr>
          <w:rFonts w:hint="eastAsia" w:cs="Times New Roman"/>
          <w:lang w:val="en-US" w:eastAsia="zh-CN"/>
        </w:rPr>
        <w:t xml:space="preserve">40</w:t>
      </w:r>
      <w:r>
        <w:rPr>
          <w:rFonts w:hint="eastAsia" w:eastAsia="宋体" w:cs="Times New Roman"/>
        </w:rPr>
        <w:t xml:space="preserve">页，若篇幅页数不足或超出，则2.1</w:t>
      </w:r>
      <w:r>
        <w:rPr>
          <w:rFonts w:hint="eastAsia" w:eastAsia="宋体" w:cs="Times New Roman"/>
          <w:lang w:val="en-US" w:eastAsia="zh-CN"/>
        </w:rPr>
        <w:t xml:space="preserve">技术方案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2实施方案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6</w:t>
      </w:r>
      <w:r>
        <w:rPr>
          <w:rFonts w:hint="eastAsia" w:eastAsia="宋体" w:cs="Times New Roman"/>
        </w:rPr>
        <w:t xml:space="preserve">页，但不得超过</w:t>
      </w:r>
      <w:r>
        <w:rPr>
          <w:rFonts w:hint="eastAsia" w:eastAsia="宋体" w:cs="Times New Roman"/>
          <w:lang w:val="en-US" w:eastAsia="zh-CN"/>
        </w:rPr>
        <w:t xml:space="preserve">40</w:t>
      </w:r>
      <w:r>
        <w:rPr>
          <w:rFonts w:hint="eastAsia" w:eastAsia="宋体" w:cs="Times New Roman"/>
        </w:rPr>
        <w:t xml:space="preserve">页，若篇幅页数不足或超出，则2.</w:t>
      </w:r>
      <w:r>
        <w:rPr>
          <w:rFonts w:hint="eastAsia" w:eastAsia="宋体" w:cs="Times New Roman"/>
          <w:lang w:val="en-US" w:eastAsia="zh-CN"/>
        </w:rPr>
        <w:t xml:space="preserve">2实施方案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3售后服务</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3售后服务</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4培训方案</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4培训方案</w:t>
      </w:r>
      <w:r>
        <w:rPr>
          <w:rFonts w:hint="eastAsia" w:eastAsia="宋体" w:cs="Times New Roman"/>
        </w:rPr>
        <w:t xml:space="preserve">不得分。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0141"/>
      <w:r/>
      <w:bookmarkStart w:id="35" w:name="_Toc6187"/>
      <w:r/>
      <w:bookmarkStart w:id="36" w:name="_Toc10212"/>
      <w:r/>
      <w:bookmarkStart w:id="37" w:name="_Toc12777"/>
      <w:r/>
      <w:bookmarkStart w:id="38" w:name="_Toc8049"/>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39"/>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39"/>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3"/>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39"/>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39"/>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1094"/>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20"/>
          <w:rFonts w:hint="eastAsia" w:ascii="黑体" w:hAnsi="黑体" w:cs="黑体"/>
          <w:b/>
          <w:bCs/>
          <w:sz w:val="28"/>
          <w:szCs w:val="28"/>
          <w:lang w:val="en-US" w:eastAsia="zh-CN"/>
        </w:rPr>
        <w:t xml:space="preserve">第一节  </w:t>
      </w:r>
      <w:r>
        <w:rPr>
          <w:rStyle w:val="1120"/>
          <w:rFonts w:hint="eastAsia" w:ascii="黑体" w:hAnsi="黑体" w:eastAsia="黑体" w:cs="黑体"/>
          <w:b/>
          <w:bCs/>
          <w:sz w:val="28"/>
          <w:szCs w:val="28"/>
          <w:lang w:val="en-US" w:eastAsia="zh-CN"/>
        </w:rPr>
        <w:t xml:space="preserve">项目基本信息</w:t>
      </w:r>
      <w:r/>
    </w:p>
    <w:tbl>
      <w:tblPr>
        <w:tblStyle w:val="1097"/>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392"/>
        <w:gridCol w:w="4221"/>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39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4221" w:type="dxa"/>
            <w:vAlign w:val="center"/>
            <w:textDirection w:val="lrTb"/>
            <w:noWrap w:val="false"/>
          </w:tcPr>
          <w:p>
            <w:pPr>
              <w:ind w:left="0" w:right="0" w:firstLine="112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eastAsia="宋体" w:cs="Times New Roman"/>
                <w:lang w:val="en-US" w:eastAsia="zh-CN"/>
              </w:rPr>
              <w:suppressLineNumbers w:val="0"/>
            </w:pPr>
            <w:r>
              <w:rPr>
                <w:rFonts w:hint="eastAsia" w:eastAsia="宋体" w:cs="Times New Roman"/>
                <w:lang w:val="en-US" w:eastAsia="zh-CN"/>
              </w:rPr>
              <w:t xml:space="preserve">1</w:t>
            </w:r>
            <w:r/>
          </w:p>
        </w:tc>
        <w:tc>
          <w:tcPr>
            <w:tcW w:w="239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eastAsia="宋体" w:cs="Times New Roman"/>
                <w:lang w:val="en-US" w:eastAsia="zh-CN"/>
              </w:rPr>
              <w:suppressLineNumbers w:val="0"/>
            </w:pPr>
            <w:r>
              <w:rPr>
                <w:rFonts w:hint="eastAsia" w:eastAsia="宋体" w:cs="Times New Roman"/>
                <w:lang w:val="en-US" w:eastAsia="zh-CN"/>
              </w:rPr>
              <w:t xml:space="preserve">JSZC-320413-JZCG-G2025-0049</w:t>
            </w:r>
            <w:r/>
          </w:p>
        </w:tc>
        <w:tc>
          <w:tcPr>
            <w:tcW w:w="4221"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eastAsia="宋体" w:cs="Times New Roman"/>
                <w:lang w:val="en-US" w:eastAsia="zh-CN"/>
              </w:rPr>
              <w:suppressLineNumbers w:val="0"/>
            </w:pPr>
            <w:r>
              <w:rPr>
                <w:rFonts w:hint="eastAsia" w:eastAsia="宋体" w:cs="Times New Roman"/>
                <w:lang w:val="en-US" w:eastAsia="zh-CN"/>
              </w:rPr>
              <w:t xml:space="preserve">2025年常州市金坛区第三人民医院云桌面项目</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eastAsia="宋体" w:cs="Times New Roman"/>
                <w:lang w:val="en-US" w:eastAsia="zh-CN"/>
              </w:rPr>
              <w:suppressLineNumbers w:val="0"/>
            </w:pPr>
            <w:r>
              <w:rPr>
                <w:rFonts w:hint="eastAsia" w:eastAsia="宋体" w:cs="Times New Roman"/>
                <w:lang w:val="en-US" w:eastAsia="zh-CN"/>
              </w:rPr>
              <w:t xml:space="preserve">22</w:t>
            </w:r>
            <w:r/>
          </w:p>
        </w:tc>
      </w:tr>
    </w:tbl>
    <w:p>
      <w:pPr>
        <w:rPr>
          <w:rFonts w:hint="eastAsia"/>
          <w:lang w:val="en-US" w:eastAsia="zh-CN"/>
        </w:rPr>
      </w:pPr>
      <w:r>
        <w:rPr>
          <w:rFonts w:hint="eastAsia"/>
          <w:lang w:val="en-US" w:eastAsia="zh-CN"/>
        </w:rPr>
      </w:r>
      <w:r/>
    </w:p>
    <w:p>
      <w:pPr>
        <w:pStyle w:val="1094"/>
        <w:numPr>
          <w:ilvl w:val="0"/>
          <w:numId w:val="0"/>
        </w:numPr>
        <w:jc w:val="center"/>
        <w:rPr>
          <w:rFonts w:hint="eastAsia"/>
          <w:b/>
          <w:bCs/>
          <w:lang w:val="en-US" w:eastAsia="zh-CN"/>
        </w:rPr>
      </w:pPr>
      <w:r>
        <w:rPr>
          <w:rFonts w:hint="eastAsia"/>
          <w:b/>
          <w:bCs/>
          <w:lang w:val="en-US" w:eastAsia="zh-CN"/>
        </w:rPr>
        <w:t xml:space="preserve">第二节  项目概况</w:t>
      </w:r>
      <w:r/>
    </w:p>
    <w:p>
      <w:pPr>
        <w:ind w:firstLine="560"/>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lang w:val="en-US" w:eastAsia="zh-CN"/>
        </w:rPr>
        <w:t xml:space="preserve">本次项目为常州市金坛区第三人民医院新院区、老院区及村卫生室提供云桌面服务，旨在解决本院日常办公服务，通过云桌面简化运维、降低运维成本，提高办公效率。共4个包，其中</w:t>
      </w:r>
      <w:r>
        <w:rPr>
          <w:rFonts w:hint="eastAsia" w:ascii="宋体" w:hAnsi="宋体" w:cs="宋体"/>
          <w:lang w:val="en-US" w:eastAsia="zh-CN"/>
        </w:rPr>
        <w:t xml:space="preserve">：</w:t>
      </w:r>
      <w:r>
        <w:rPr>
          <w:rFonts w:hint="eastAsia" w:ascii="宋体" w:hAnsi="宋体" w:eastAsia="宋体" w:cs="宋体"/>
          <w:lang w:val="en-US" w:eastAsia="zh-CN"/>
        </w:rPr>
        <w:t xml:space="preserve">01包是</w:t>
      </w:r>
      <w:r>
        <w:rPr>
          <w:rFonts w:hint="eastAsia" w:eastAsia="宋体" w:cs="Times New Roman"/>
          <w:lang w:val="en-US" w:eastAsia="zh-CN"/>
        </w:rPr>
        <w:t xml:space="preserve">医院15个下辖村卫生室云桌面服务</w:t>
      </w:r>
      <w:r>
        <w:rPr>
          <w:rFonts w:hint="eastAsia" w:ascii="宋体" w:hAnsi="宋体" w:eastAsia="宋体" w:cs="宋体"/>
        </w:rPr>
        <w:t xml:space="preserve">，</w:t>
      </w:r>
      <w:r>
        <w:rPr>
          <w:rFonts w:hint="eastAsia" w:ascii="宋体" w:hAnsi="宋体" w:eastAsia="宋体" w:cs="宋体"/>
          <w:lang w:val="en-US" w:eastAsia="zh-CN"/>
        </w:rPr>
        <w:t xml:space="preserve">02包是针对老院区的云桌面</w:t>
      </w:r>
      <w:r>
        <w:rPr>
          <w:rFonts w:hint="eastAsia" w:ascii="宋体" w:hAnsi="宋体" w:eastAsia="宋体" w:cs="宋体"/>
        </w:rPr>
        <w:t xml:space="preserve">服务</w:t>
      </w:r>
      <w:r>
        <w:rPr>
          <w:rFonts w:hint="eastAsia" w:ascii="宋体" w:hAnsi="宋体" w:cs="宋体"/>
          <w:lang w:eastAsia="zh-CN"/>
        </w:rPr>
        <w:t xml:space="preserve">，</w:t>
      </w:r>
      <w:r>
        <w:rPr>
          <w:rFonts w:hint="eastAsia" w:ascii="宋体" w:hAnsi="宋体" w:eastAsia="宋体" w:cs="宋体"/>
          <w:lang w:val="en-US" w:eastAsia="zh-CN"/>
        </w:rPr>
        <w:t xml:space="preserve">03包是针对新院区的</w:t>
      </w:r>
      <w:r>
        <w:rPr>
          <w:rFonts w:hint="eastAsia" w:ascii="宋体" w:hAnsi="宋体" w:cs="宋体"/>
          <w:b w:val="0"/>
          <w:bCs/>
          <w:sz w:val="28"/>
          <w:szCs w:val="28"/>
          <w:lang w:val="en-US" w:eastAsia="zh-CN"/>
        </w:rPr>
        <w:t xml:space="preserve">云桌面服务一期</w:t>
      </w:r>
      <w:r>
        <w:rPr>
          <w:rFonts w:hint="eastAsia" w:ascii="宋体" w:hAnsi="宋体" w:cs="宋体"/>
          <w:lang w:val="zh-CN"/>
        </w:rPr>
        <w:t xml:space="preserve">，</w:t>
      </w:r>
      <w:r>
        <w:rPr>
          <w:rFonts w:hint="eastAsia" w:ascii="宋体" w:hAnsi="宋体" w:eastAsia="宋体" w:cs="宋体"/>
          <w:lang w:val="en-US" w:eastAsia="zh-CN"/>
        </w:rPr>
        <w:t xml:space="preserve">04包是针对新院区的</w:t>
      </w:r>
      <w:r>
        <w:rPr>
          <w:rFonts w:hint="eastAsia" w:ascii="宋体" w:hAnsi="宋体" w:cs="宋体"/>
          <w:b w:val="0"/>
          <w:bCs/>
          <w:sz w:val="28"/>
          <w:szCs w:val="28"/>
          <w:lang w:val="en-US" w:eastAsia="zh-CN"/>
        </w:rPr>
        <w:t xml:space="preserve">云桌面服务二期</w:t>
      </w:r>
      <w:r>
        <w:rPr>
          <w:rFonts w:hint="eastAsia" w:ascii="宋体" w:hAnsi="宋体" w:cs="宋体"/>
          <w:lang w:eastAsia="zh-CN"/>
        </w:rPr>
        <w:t xml:space="preserve">。</w:t>
      </w:r>
      <w:r/>
    </w:p>
    <w:p>
      <w:pPr>
        <w:rPr>
          <w:rFonts w:hint="default"/>
          <w:lang w:val="en-US" w:eastAsia="zh-CN"/>
        </w:rPr>
      </w:pPr>
      <w:r>
        <w:rPr>
          <w:rFonts w:hint="default"/>
          <w:lang w:val="en-US" w:eastAsia="zh-CN"/>
        </w:rPr>
      </w:r>
      <w:r/>
    </w:p>
    <w:p>
      <w:pPr>
        <w:pStyle w:val="1092"/>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bookmarkStart w:id="39" w:name="_Hlk72073432"/>
      <w:r>
        <w:rPr>
          <w:rFonts w:hint="eastAsia" w:ascii="黑体" w:hAnsi="黑体" w:cs="黑体"/>
          <w:sz w:val="28"/>
          <w:szCs w:val="28"/>
          <w:lang w:val="en-US" w:eastAsia="zh-CN"/>
        </w:rPr>
        <w:t xml:space="preserve">第三节  服务需求明细</w:t>
      </w:r>
      <w:bookmarkEnd w:id="39"/>
      <w:r/>
      <w:r/>
    </w:p>
    <w:tbl>
      <w:tblPr>
        <w:tblStyle w:val="1097"/>
        <w:tblpPr w:horzAnchor="margin" w:tblpXSpec="left" w:vertAnchor="text" w:tblpY="173" w:leftFromText="180" w:topFromText="0" w:rightFromText="180" w:bottomFromText="0"/>
        <w:tblW w:w="51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097"/>
        <w:gridCol w:w="3986"/>
        <w:gridCol w:w="1341"/>
        <w:gridCol w:w="849"/>
        <w:gridCol w:w="983"/>
      </w:tblGrid>
      <w:tr>
        <w:trPr>
          <w:trHeight w:val="170"/>
        </w:trPr>
        <w:tc>
          <w:tcPr>
            <w:tcW w:w="41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bCs/>
                <w:sz w:val="28"/>
                <w:szCs w:val="28"/>
                <w:lang w:val="en-US" w:eastAsia="zh-CN"/>
              </w:rPr>
              <w:t xml:space="preserve">包</w:t>
            </w:r>
            <w:r>
              <w:rPr>
                <w:rFonts w:hint="eastAsia" w:ascii="宋体" w:hAnsi="宋体" w:eastAsia="宋体" w:cs="宋体"/>
                <w:bCs/>
                <w:sz w:val="28"/>
                <w:szCs w:val="28"/>
              </w:rPr>
              <w:t xml:space="preserve">号</w:t>
            </w:r>
            <w:r/>
          </w:p>
        </w:tc>
        <w:tc>
          <w:tcPr>
            <w:tcW w:w="103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97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66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bCs/>
                <w:sz w:val="28"/>
                <w:szCs w:val="28"/>
                <w:lang w:val="en-US" w:eastAsia="zh-CN"/>
              </w:rPr>
              <w:t xml:space="preserve">最高限价</w:t>
            </w:r>
            <w:r/>
          </w:p>
        </w:tc>
        <w:tc>
          <w:tcPr>
            <w:tcW w:w="42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48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1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cs="宋体"/>
                <w:bCs/>
                <w:sz w:val="28"/>
                <w:szCs w:val="28"/>
                <w:lang w:val="en-US" w:eastAsia="zh-CN"/>
              </w:rPr>
              <w:t xml:space="preserve">0</w:t>
            </w:r>
            <w:r>
              <w:rPr>
                <w:rFonts w:hint="eastAsia" w:ascii="宋体" w:hAnsi="宋体" w:eastAsia="宋体" w:cs="宋体"/>
                <w:bCs/>
                <w:sz w:val="28"/>
                <w:szCs w:val="28"/>
              </w:rPr>
              <w:t xml:space="preserve">1</w:t>
            </w:r>
            <w:r/>
          </w:p>
        </w:tc>
        <w:tc>
          <w:tcPr>
            <w:tcW w:w="1039" w:type="pct"/>
            <w:vAlign w:val="center"/>
            <w:vMerge w:val="restart"/>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eastAsia="宋体" w:cs="Times New Roman"/>
                <w:lang w:val="en-US" w:eastAsia="zh-CN"/>
              </w:rPr>
              <w:t xml:space="preserve">JSZC-320413-JZCG-G2025-0049</w:t>
            </w:r>
            <w:r/>
          </w:p>
        </w:tc>
        <w:tc>
          <w:tcPr>
            <w:tcW w:w="197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金坛区第三人民医院云桌面服务（村卫生室）</w:t>
            </w:r>
            <w:r/>
          </w:p>
        </w:tc>
        <w:tc>
          <w:tcPr>
            <w:tcW w:w="66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2万元</w:t>
            </w:r>
            <w:r/>
          </w:p>
        </w:tc>
        <w:tc>
          <w:tcPr>
            <w:tcW w:w="42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487"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r>
        <w:trPr>
          <w:trHeight w:val="170"/>
        </w:trPr>
        <w:tc>
          <w:tcPr>
            <w:tcW w:w="41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02</w:t>
            </w:r>
            <w:r/>
          </w:p>
        </w:tc>
        <w:tc>
          <w:tcPr>
            <w:tcW w:w="103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bCs/>
                <w:sz w:val="28"/>
                <w:szCs w:val="28"/>
                <w:lang w:eastAsia="zh-CN"/>
              </w:rPr>
            </w:r>
            <w:r/>
          </w:p>
        </w:tc>
        <w:tc>
          <w:tcPr>
            <w:tcW w:w="197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金坛区第三人民医院云桌面服务（老院区）</w:t>
            </w:r>
            <w:r/>
          </w:p>
        </w:tc>
        <w:tc>
          <w:tcPr>
            <w:tcW w:w="66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3万元</w:t>
            </w:r>
            <w:r/>
          </w:p>
        </w:tc>
        <w:tc>
          <w:tcPr>
            <w:shd w:val="clear" w:color="auto" w:fill="auto"/>
            <w:tcW w:w="42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sz w:val="28"/>
                <w:szCs w:val="28"/>
              </w:rPr>
              <w:t xml:space="preserve">1</w:t>
            </w:r>
            <w:r/>
          </w:p>
        </w:tc>
        <w:tc>
          <w:tcPr>
            <w:shd w:val="clear" w:color="auto" w:fill="auto"/>
            <w:tcW w:w="487"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rPr>
              <w:t xml:space="preserve">项</w:t>
            </w:r>
            <w:r/>
          </w:p>
        </w:tc>
      </w:tr>
      <w:tr>
        <w:trPr>
          <w:trHeight w:val="170"/>
        </w:trPr>
        <w:tc>
          <w:tcPr>
            <w:tcW w:w="41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03</w:t>
            </w:r>
            <w:r/>
          </w:p>
        </w:tc>
        <w:tc>
          <w:tcPr>
            <w:tcW w:w="103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bCs/>
                <w:sz w:val="28"/>
                <w:szCs w:val="28"/>
                <w:lang w:eastAsia="zh-CN"/>
              </w:rPr>
            </w:r>
            <w:r/>
          </w:p>
        </w:tc>
        <w:tc>
          <w:tcPr>
            <w:tcW w:w="197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金坛区第三人民医院云桌面服务一期（新院区）</w:t>
            </w:r>
            <w:r/>
          </w:p>
        </w:tc>
        <w:tc>
          <w:tcPr>
            <w:tcW w:w="66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12万元</w:t>
            </w:r>
            <w:r/>
          </w:p>
        </w:tc>
        <w:tc>
          <w:tcPr>
            <w:shd w:val="clear" w:color="auto" w:fill="auto"/>
            <w:tcW w:w="42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sz w:val="28"/>
                <w:szCs w:val="28"/>
              </w:rPr>
              <w:t xml:space="preserve">1</w:t>
            </w:r>
            <w:r/>
          </w:p>
        </w:tc>
        <w:tc>
          <w:tcPr>
            <w:shd w:val="clear" w:color="auto" w:fill="auto"/>
            <w:tcW w:w="487"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rPr>
              <w:t xml:space="preserve">项</w:t>
            </w:r>
            <w:r/>
          </w:p>
        </w:tc>
      </w:tr>
      <w:tr>
        <w:trPr>
          <w:trHeight w:val="170"/>
        </w:trPr>
        <w:tc>
          <w:tcPr>
            <w:tcW w:w="41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04</w:t>
            </w:r>
            <w:r/>
          </w:p>
        </w:tc>
        <w:tc>
          <w:tcPr>
            <w:tcW w:w="1039"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bCs/>
                <w:sz w:val="28"/>
                <w:szCs w:val="28"/>
                <w:lang w:eastAsia="zh-CN"/>
              </w:rPr>
            </w:r>
            <w:r/>
          </w:p>
        </w:tc>
        <w:tc>
          <w:tcPr>
            <w:tcW w:w="1976"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金坛区第三人民医院云桌面服务二期（新院区）</w:t>
            </w:r>
            <w:r/>
          </w:p>
        </w:tc>
        <w:tc>
          <w:tcPr>
            <w:tcW w:w="66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5万元</w:t>
            </w:r>
            <w:r/>
          </w:p>
        </w:tc>
        <w:tc>
          <w:tcPr>
            <w:shd w:val="clear" w:color="auto" w:fill="auto"/>
            <w:tcW w:w="42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sz w:val="28"/>
                <w:szCs w:val="28"/>
              </w:rPr>
              <w:t xml:space="preserve">1</w:t>
            </w:r>
            <w:r/>
          </w:p>
        </w:tc>
        <w:tc>
          <w:tcPr>
            <w:shd w:val="clear" w:color="auto" w:fill="auto"/>
            <w:tcW w:w="487"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92"/>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p>
      <w:pPr>
        <w:numPr>
          <w:ilvl w:val="0"/>
          <w:numId w:val="0"/>
        </w:numPr>
        <w:jc w:val="center"/>
        <w:rPr>
          <w:rFonts w:hint="default" w:eastAsia="宋体" w:cs="Times New Roman"/>
          <w:b/>
          <w:bCs/>
          <w:lang w:val="en-US" w:eastAsia="zh-CN"/>
        </w:rPr>
      </w:pPr>
      <w:r>
        <w:rPr>
          <w:rFonts w:hint="eastAsia" w:eastAsia="宋体" w:cs="Times New Roman"/>
          <w:b/>
          <w:bCs/>
          <w:lang w:val="en-US" w:eastAsia="zh-CN"/>
        </w:rPr>
        <w:t xml:space="preserve">01包</w:t>
      </w:r>
      <w:r/>
    </w:p>
    <w:tbl>
      <w:tblPr>
        <w:tblStyle w:val="1097"/>
        <w:tblW w:w="51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9240"/>
      </w:tblGrid>
      <w:tr>
        <w:trPr/>
        <w:tc>
          <w:tcPr>
            <w:tcW w:w="40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9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0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93"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bl>
    <w:p>
      <w:pPr>
        <w:numPr>
          <w:ilvl w:val="0"/>
          <w:numId w:val="0"/>
        </w:numPr>
        <w:jc w:val="center"/>
        <w:rPr>
          <w:rFonts w:hint="default" w:eastAsia="宋体" w:cs="Times New Roman"/>
          <w:b/>
          <w:bCs/>
          <w:lang w:val="en-US" w:eastAsia="zh-CN"/>
        </w:rPr>
      </w:pPr>
      <w:r>
        <w:rPr>
          <w:rFonts w:hint="eastAsia" w:ascii="Calibri" w:eastAsia="宋体" w:cs="Times New Roman"/>
          <w:b/>
          <w:bCs/>
          <w:lang w:val="en-US" w:eastAsia="zh-CN"/>
        </w:rPr>
        <w:t xml:space="preserve">0</w:t>
      </w:r>
      <w:r>
        <w:rPr>
          <w:rFonts w:hint="eastAsia" w:eastAsia="宋体" w:cs="Times New Roman"/>
          <w:b/>
          <w:bCs/>
          <w:lang w:val="en-US" w:eastAsia="zh-CN"/>
        </w:rPr>
        <w:t xml:space="preserve">2</w:t>
      </w:r>
      <w:r>
        <w:rPr>
          <w:rFonts w:hint="eastAsia" w:ascii="Calibri" w:eastAsia="宋体" w:cs="Times New Roman"/>
          <w:b/>
          <w:bCs/>
          <w:lang w:val="en-US" w:eastAsia="zh-CN"/>
        </w:rPr>
        <w:t xml:space="preserve">包</w:t>
      </w:r>
      <w:r/>
    </w:p>
    <w:tbl>
      <w:tblPr>
        <w:tblStyle w:val="1097"/>
        <w:tblW w:w="51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216"/>
      </w:tblGrid>
      <w:tr>
        <w:trPr/>
        <w:tc>
          <w:tcPr>
            <w:tcW w:w="41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8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1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81"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bl>
    <w:p>
      <w:pPr>
        <w:numPr>
          <w:ilvl w:val="0"/>
          <w:numId w:val="0"/>
        </w:numPr>
        <w:jc w:val="center"/>
        <w:rPr>
          <w:rFonts w:hint="default" w:eastAsia="宋体" w:cs="Times New Roman"/>
          <w:b/>
          <w:bCs/>
          <w:lang w:val="en-US" w:eastAsia="zh-CN"/>
        </w:rPr>
      </w:pPr>
      <w:r>
        <w:rPr>
          <w:rFonts w:hint="eastAsia" w:ascii="Calibri" w:eastAsia="宋体" w:cs="Times New Roman"/>
          <w:b/>
          <w:bCs/>
          <w:lang w:val="en-US" w:eastAsia="zh-CN"/>
        </w:rPr>
        <w:t xml:space="preserve">0</w:t>
      </w:r>
      <w:r>
        <w:rPr>
          <w:rFonts w:hint="eastAsia" w:eastAsia="宋体" w:cs="Times New Roman"/>
          <w:b/>
          <w:bCs/>
          <w:lang w:val="en-US" w:eastAsia="zh-CN"/>
        </w:rPr>
        <w:t xml:space="preserve">3</w:t>
      </w:r>
      <w:r>
        <w:rPr>
          <w:rFonts w:hint="eastAsia" w:ascii="Calibri" w:eastAsia="宋体" w:cs="Times New Roman"/>
          <w:b/>
          <w:bCs/>
          <w:lang w:val="en-US" w:eastAsia="zh-CN"/>
        </w:rPr>
        <w:t xml:space="preserve">包</w:t>
      </w:r>
      <w:r/>
    </w:p>
    <w:tbl>
      <w:tblPr>
        <w:tblStyle w:val="1097"/>
        <w:tblW w:w="51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229"/>
      </w:tblGrid>
      <w:tr>
        <w:trPr/>
        <w:tc>
          <w:tcPr>
            <w:tcW w:w="41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8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1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8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bl>
    <w:p>
      <w:pPr>
        <w:numPr>
          <w:ilvl w:val="0"/>
          <w:numId w:val="0"/>
        </w:numPr>
        <w:jc w:val="center"/>
        <w:rPr>
          <w:rFonts w:hint="default" w:eastAsia="宋体" w:cs="Times New Roman"/>
          <w:b/>
          <w:bCs/>
          <w:lang w:val="en-US" w:eastAsia="zh-CN"/>
        </w:rPr>
      </w:pPr>
      <w:r>
        <w:rPr>
          <w:rFonts w:hint="eastAsia" w:ascii="Calibri" w:eastAsia="宋体" w:cs="Times New Roman"/>
          <w:b/>
          <w:bCs/>
          <w:lang w:val="en-US" w:eastAsia="zh-CN"/>
        </w:rPr>
        <w:t xml:space="preserve">0</w:t>
      </w:r>
      <w:r>
        <w:rPr>
          <w:rFonts w:hint="eastAsia" w:eastAsia="宋体" w:cs="Times New Roman"/>
          <w:b/>
          <w:bCs/>
          <w:lang w:val="en-US" w:eastAsia="zh-CN"/>
        </w:rPr>
        <w:t xml:space="preserve">4</w:t>
      </w:r>
      <w:r>
        <w:rPr>
          <w:rFonts w:hint="eastAsia" w:ascii="Calibri" w:eastAsia="宋体" w:cs="Times New Roman"/>
          <w:b/>
          <w:bCs/>
          <w:lang w:val="en-US" w:eastAsia="zh-CN"/>
        </w:rPr>
        <w:t xml:space="preserve">包</w:t>
      </w:r>
      <w:r/>
    </w:p>
    <w:tbl>
      <w:tblPr>
        <w:tblStyle w:val="1097"/>
        <w:tblW w:w="51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229"/>
      </w:tblGrid>
      <w:tr>
        <w:trPr/>
        <w:tc>
          <w:tcPr>
            <w:tcW w:w="41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8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1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8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p>
    <w:p>
      <w:pPr>
        <w:pStyle w:val="1094"/>
        <w:numPr>
          <w:ilvl w:val="0"/>
          <w:numId w:val="0"/>
        </w:numPr>
        <w:jc w:val="center"/>
        <w:pageBreakBefore w:val="0"/>
        <w:spacing w:before="0" w:after="0" w:line="360" w:lineRule="auto"/>
        <w:rPr>
          <w:rFonts w:hint="default" w:ascii="黑体" w:hAnsi="黑体" w:eastAsia="黑体" w:cs="黑体"/>
          <w:b/>
          <w:bCs/>
          <w:sz w:val="28"/>
          <w:szCs w:val="28"/>
          <w:lang w:val="en-US" w:eastAsia="zh-CN"/>
        </w:rPr>
        <w:outlineLvl w:val="2"/>
      </w:pPr>
      <w:r>
        <w:rPr>
          <w:rFonts w:hint="eastAsia" w:ascii="黑体" w:hAnsi="黑体" w:cs="黑体"/>
          <w:b/>
          <w:bCs/>
          <w:sz w:val="28"/>
          <w:szCs w:val="28"/>
          <w:lang w:val="en-US" w:eastAsia="zh-CN"/>
        </w:rPr>
        <w:t xml:space="preserve">第五节  服务清单及要求</w:t>
      </w:r>
      <w:r/>
    </w:p>
    <w:p>
      <w:pPr>
        <w:pStyle w:val="1094"/>
        <w:ind w:left="0" w:firstLine="0"/>
        <w:jc w:val="center"/>
        <w:rPr>
          <w:rFonts w:hint="eastAsia" w:ascii="宋体" w:hAnsi="宋体" w:cs="宋体"/>
          <w:b/>
          <w:bCs/>
          <w:sz w:val="28"/>
          <w:szCs w:val="28"/>
          <w:lang w:val="en-US" w:eastAsia="zh-CN"/>
        </w:rPr>
      </w:pPr>
      <w:r>
        <w:rPr>
          <w:rFonts w:hint="eastAsia" w:ascii="宋体" w:hAnsi="宋体" w:eastAsia="宋体" w:cs="宋体"/>
          <w:sz w:val="28"/>
          <w:szCs w:val="28"/>
        </w:rPr>
        <w:t xml:space="preserve">★</w:t>
      </w:r>
      <w:r>
        <w:rPr>
          <w:rFonts w:hint="eastAsia" w:ascii="宋体" w:hAnsi="宋体" w:cs="宋体"/>
          <w:b/>
          <w:bCs/>
          <w:sz w:val="28"/>
          <w:szCs w:val="28"/>
          <w:lang w:val="en-US" w:eastAsia="zh-CN"/>
        </w:rPr>
        <w:t xml:space="preserve">01包</w:t>
      </w:r>
      <w:r/>
    </w:p>
    <w:p>
      <w:pPr>
        <w:numPr>
          <w:ilvl w:val="0"/>
          <w:numId w:val="0"/>
        </w:numPr>
        <w:jc w:val="both"/>
        <w:keepLines w:val="0"/>
        <w:keepNext w:val="0"/>
        <w:pageBreakBefore w:val="0"/>
        <w:spacing w:line="360" w:lineRule="auto"/>
        <w:shd w:val="clear" w:color="auto" w:fill="ffffff"/>
        <w:widowControl/>
        <w:rPr>
          <w:rFonts w:hint="eastAsia" w:ascii="宋体" w:hAnsi="宋体" w:eastAsia="宋体" w:cs="宋体"/>
          <w:b/>
          <w:bCs/>
          <w:color w:val="333333"/>
          <w:spacing w:val="8"/>
          <w:sz w:val="28"/>
          <w:szCs w:val="28"/>
          <w:lang w:val="en-US" w:eastAsia="zh-CN" w:bidi="ar-SA"/>
        </w:rPr>
      </w:pPr>
      <w:r>
        <w:rPr>
          <w:rFonts w:hint="eastAsia" w:ascii="宋体" w:hAnsi="宋体" w:cs="宋体"/>
          <w:b/>
          <w:bCs/>
          <w:sz w:val="28"/>
          <w:szCs w:val="28"/>
          <w:lang w:val="en-US" w:eastAsia="zh-CN"/>
        </w:rPr>
        <w:t xml:space="preserve">一、 </w:t>
      </w:r>
      <w:r>
        <w:rPr>
          <w:rFonts w:hint="eastAsia" w:ascii="宋体" w:hAnsi="宋体" w:eastAsia="宋体" w:cs="宋体"/>
          <w:b/>
          <w:bCs/>
          <w:color w:val="333333"/>
          <w:spacing w:val="8"/>
          <w:sz w:val="28"/>
          <w:szCs w:val="28"/>
          <w:lang w:val="en-US" w:eastAsia="zh-CN" w:bidi="ar-SA"/>
        </w:rPr>
        <w:t xml:space="preserve">采购需求</w:t>
      </w:r>
      <w:r/>
    </w:p>
    <w:p>
      <w:pPr>
        <w:numPr>
          <w:ilvl w:val="0"/>
          <w:numId w:val="0"/>
        </w:numPr>
        <w:ind w:firstLine="592"/>
        <w:jc w:val="both"/>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bidi="ar-SA"/>
        </w:rPr>
      </w:pPr>
      <w:r>
        <w:rPr>
          <w:rFonts w:hint="eastAsia" w:ascii="宋体" w:hAnsi="宋体" w:eastAsia="宋体" w:cs="宋体"/>
          <w:color w:val="333333"/>
          <w:spacing w:val="8"/>
          <w:sz w:val="28"/>
          <w:szCs w:val="28"/>
          <w:lang w:val="en-US" w:eastAsia="zh-CN" w:bidi="ar-SA"/>
        </w:rPr>
        <w:t xml:space="preserve">1.本次计划</w:t>
      </w:r>
      <w:r>
        <w:rPr>
          <w:rFonts w:hint="eastAsia" w:ascii="宋体" w:hAnsi="宋体" w:cs="宋体"/>
          <w:color w:val="333333"/>
          <w:spacing w:val="8"/>
          <w:sz w:val="28"/>
          <w:szCs w:val="28"/>
          <w:lang w:val="en-US" w:eastAsia="zh-CN" w:bidi="ar-SA"/>
        </w:rPr>
        <w:t xml:space="preserve">租赁</w:t>
      </w:r>
      <w:r>
        <w:rPr>
          <w:rFonts w:hint="eastAsia" w:ascii="宋体" w:hAnsi="宋体" w:eastAsia="宋体" w:cs="宋体"/>
          <w:color w:val="333333"/>
          <w:spacing w:val="8"/>
          <w:sz w:val="28"/>
          <w:szCs w:val="28"/>
          <w:lang w:val="en-US" w:eastAsia="zh-CN" w:bidi="ar-SA"/>
        </w:rPr>
        <w:t xml:space="preserve">医院15个下辖村卫生室云桌面</w:t>
      </w:r>
      <w:r>
        <w:rPr>
          <w:rFonts w:hint="eastAsia" w:ascii="宋体" w:hAnsi="宋体" w:eastAsia="宋体" w:cs="宋体"/>
          <w:color w:val="333333"/>
          <w:spacing w:val="8"/>
          <w:sz w:val="28"/>
          <w:szCs w:val="28"/>
        </w:rPr>
        <w:t xml:space="preserve">租赁</w:t>
      </w:r>
      <w:r>
        <w:rPr>
          <w:rFonts w:hint="eastAsia" w:ascii="宋体" w:hAnsi="宋体" w:eastAsia="宋体" w:cs="宋体"/>
          <w:color w:val="333333"/>
          <w:spacing w:val="8"/>
          <w:sz w:val="28"/>
          <w:szCs w:val="28"/>
          <w:lang w:val="en-US" w:eastAsia="zh-CN" w:bidi="ar-SA"/>
        </w:rPr>
        <w:t xml:space="preserve">服务，这些将专门用于高效开展传染病、慢性病、食源性疾病等公共卫生事件的监测、上报工作，以及全面负责妇幼健康管理信息质量控制等重要任务。通过引入这些先进的云桌面设备，旨在显著提升我院在传染病、慢性病、食源性疾病报告、管理和防控方面的整体工作质量和综合水平，确保公共卫生安全得到更加坚实的保障。卫生室名单由采购人单独提供给中标供应商。</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bidi="ar-SA"/>
        </w:rPr>
      </w:pPr>
      <w:r>
        <w:rPr>
          <w:rFonts w:hint="eastAsia" w:ascii="宋体" w:hAnsi="宋体" w:eastAsia="宋体" w:cs="宋体"/>
          <w:color w:val="333333"/>
          <w:spacing w:val="8"/>
          <w:sz w:val="28"/>
          <w:szCs w:val="28"/>
          <w:lang w:val="en-US" w:eastAsia="zh-CN" w:bidi="ar-SA"/>
        </w:rPr>
        <w:t xml:space="preserve">2.为确保医疗信息系统的稳定、高效运行，本次采购的云桌面</w:t>
      </w:r>
      <w:r>
        <w:rPr>
          <w:rFonts w:hint="eastAsia" w:ascii="宋体" w:hAnsi="宋体" w:eastAsia="宋体" w:cs="宋体"/>
          <w:color w:val="333333"/>
          <w:spacing w:val="8"/>
          <w:sz w:val="28"/>
          <w:szCs w:val="28"/>
        </w:rPr>
        <w:t xml:space="preserve">租赁</w:t>
      </w:r>
      <w:r>
        <w:rPr>
          <w:rFonts w:hint="eastAsia" w:ascii="宋体" w:hAnsi="宋体" w:eastAsia="宋体" w:cs="宋体"/>
          <w:color w:val="333333"/>
          <w:spacing w:val="8"/>
          <w:sz w:val="28"/>
          <w:szCs w:val="28"/>
          <w:lang w:val="en-US" w:eastAsia="zh-CN" w:bidi="ar-SA"/>
        </w:rPr>
        <w:t xml:space="preserve">服务需严格满足以下技术规格和条件：单台设备的配置标准为4核CPU、8GB内存以及60GB SSD固态硬盘，并且需要配备相应的瘦终端设备以实现最优化的使用效果。</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bidi="ar-SA"/>
        </w:rPr>
      </w:pPr>
      <w:r>
        <w:rPr>
          <w:rFonts w:hint="eastAsia" w:ascii="宋体" w:hAnsi="宋体" w:eastAsia="宋体" w:cs="宋体"/>
          <w:color w:val="333333"/>
          <w:spacing w:val="8"/>
          <w:sz w:val="28"/>
          <w:szCs w:val="28"/>
          <w:lang w:val="en-US" w:eastAsia="zh-CN" w:bidi="ar-SA"/>
        </w:rPr>
        <w:t xml:space="preserve">3.服务期为1年，在此期间，供应商必须提供全天候、不间断的7*24小时维保服务，确保设备在任何时间点都能正常运行，及时响应和处理可能出现的故障问题。</w:t>
      </w:r>
      <w:r/>
    </w:p>
    <w:p>
      <w:pPr>
        <w:numPr>
          <w:ilvl w:val="0"/>
          <w:numId w:val="0"/>
        </w:numPr>
        <w:ind w:firstLine="592"/>
        <w:jc w:val="both"/>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bidi="ar-SA"/>
        </w:rPr>
      </w:pPr>
      <w:r>
        <w:rPr>
          <w:rFonts w:hint="eastAsia" w:ascii="宋体" w:hAnsi="宋体" w:eastAsia="宋体" w:cs="宋体"/>
          <w:color w:val="333333"/>
          <w:spacing w:val="8"/>
          <w:sz w:val="28"/>
          <w:szCs w:val="28"/>
          <w:lang w:val="en-US" w:eastAsia="zh-CN" w:bidi="ar-SA"/>
        </w:rPr>
        <w:t xml:space="preserve">4.此外，云桌面设备需要有独立的网络线路接入农村医疗保障网络，以保证数据传输的安全性和稳定性，避免与其他网络系统相互干扰。</w:t>
      </w:r>
      <w:r/>
    </w:p>
    <w:p>
      <w:pPr>
        <w:numPr>
          <w:ilvl w:val="0"/>
          <w:numId w:val="0"/>
        </w:numPr>
        <w:ind w:firstLine="592"/>
        <w:jc w:val="both"/>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bidi="ar-SA"/>
        </w:rPr>
      </w:pPr>
      <w:r>
        <w:rPr>
          <w:rFonts w:hint="eastAsia" w:ascii="宋体" w:hAnsi="宋体" w:eastAsia="宋体" w:cs="宋体"/>
          <w:color w:val="333333"/>
          <w:spacing w:val="8"/>
          <w:sz w:val="28"/>
          <w:szCs w:val="28"/>
          <w:lang w:val="en-US" w:eastAsia="zh-CN" w:bidi="ar-SA"/>
        </w:rPr>
        <w:t xml:space="preserve">5.特别需要注意的是，云桌面服务器不得放置在我院本地，中标供应商必须提供符合国家三级信息安全等级保护要求的专用机房来存放服务器。在中标后且签订正式合同前，供应商需向我院提供有效的三级等保资质证明证书，以确保证机房的安全性和合规性。</w:t>
      </w:r>
      <w:r/>
    </w:p>
    <w:p>
      <w:pPr>
        <w:numPr>
          <w:ilvl w:val="0"/>
          <w:numId w:val="0"/>
        </w:numPr>
        <w:ind w:firstLine="592"/>
        <w:jc w:val="both"/>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bidi="ar-SA"/>
        </w:rPr>
      </w:pPr>
      <w:r>
        <w:rPr>
          <w:rFonts w:hint="eastAsia" w:ascii="宋体" w:hAnsi="宋体" w:eastAsia="宋体" w:cs="宋体"/>
          <w:color w:val="333333"/>
          <w:spacing w:val="8"/>
          <w:sz w:val="28"/>
          <w:szCs w:val="28"/>
          <w:lang w:val="en-US" w:eastAsia="zh-CN" w:bidi="ar-SA"/>
        </w:rPr>
        <w:t xml:space="preserve">6.最后，本次</w:t>
      </w:r>
      <w:r>
        <w:rPr>
          <w:rFonts w:hint="eastAsia" w:ascii="宋体" w:hAnsi="宋体" w:cs="宋体"/>
          <w:color w:val="333333"/>
          <w:spacing w:val="8"/>
          <w:sz w:val="28"/>
          <w:szCs w:val="28"/>
          <w:lang w:val="en-US" w:eastAsia="zh-CN" w:bidi="ar-SA"/>
        </w:rPr>
        <w:t xml:space="preserve">租赁</w:t>
      </w:r>
      <w:r>
        <w:rPr>
          <w:rFonts w:hint="eastAsia" w:ascii="宋体" w:hAnsi="宋体" w:eastAsia="宋体" w:cs="宋体"/>
          <w:color w:val="333333"/>
          <w:spacing w:val="8"/>
          <w:sz w:val="28"/>
          <w:szCs w:val="28"/>
          <w:lang w:val="en-US" w:eastAsia="zh-CN" w:bidi="ar-SA"/>
        </w:rPr>
        <w:t xml:space="preserve">的公卫云桌面需与院内其他云桌面系统完全独立，不共用同一套服务器资源，从而确保公卫数据的独立性和安全性，避免数据交叉污染和潜在的安全风险。</w:t>
      </w:r>
      <w:r/>
    </w:p>
    <w:p>
      <w:pPr>
        <w:numPr>
          <w:ilvl w:val="0"/>
          <w:numId w:val="0"/>
        </w:numPr>
        <w:jc w:val="both"/>
        <w:keepLines w:val="0"/>
        <w:keepNext w:val="0"/>
        <w:pageBreakBefore w:val="0"/>
        <w:spacing w:line="360" w:lineRule="auto"/>
        <w:shd w:val="clear" w:color="auto" w:fill="ffffff"/>
        <w:widowControl/>
        <w:rPr>
          <w:rFonts w:hint="eastAsia" w:ascii="宋体" w:hAnsi="宋体" w:eastAsia="宋体" w:cs="宋体"/>
          <w:b/>
          <w:bCs/>
          <w:color w:val="333333"/>
          <w:spacing w:val="8"/>
          <w:sz w:val="28"/>
          <w:szCs w:val="28"/>
          <w:lang w:val="en-US" w:eastAsia="zh-CN" w:bidi="ar-SA"/>
        </w:rPr>
      </w:pPr>
      <w:r>
        <w:rPr>
          <w:rFonts w:hint="eastAsia" w:ascii="宋体" w:hAnsi="宋体" w:eastAsia="宋体" w:cs="宋体"/>
          <w:b/>
          <w:bCs/>
          <w:color w:val="333333"/>
          <w:spacing w:val="8"/>
          <w:sz w:val="28"/>
          <w:szCs w:val="28"/>
          <w:lang w:val="en-US" w:eastAsia="zh-CN" w:bidi="ar-SA"/>
        </w:rPr>
        <w:t xml:space="preserve">二、服务清单</w:t>
      </w:r>
      <w:r/>
    </w:p>
    <w:tbl>
      <w:tblPr>
        <w:tblStyle w:val="1097"/>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4556"/>
        <w:gridCol w:w="2120"/>
        <w:gridCol w:w="1578"/>
      </w:tblGrid>
      <w:tr>
        <w:trPr>
          <w:jc w:val="center"/>
          <w:trHeight w:val="928"/>
        </w:trPr>
        <w:tc>
          <w:tcPr>
            <w:tcW w:w="104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bidi="ar-SA"/>
              </w:rPr>
              <w:t xml:space="preserve">序号</w:t>
            </w:r>
            <w:r/>
          </w:p>
        </w:tc>
        <w:tc>
          <w:tcPr>
            <w:tcW w:w="4556"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bidi="ar-SA"/>
              </w:rPr>
              <w:t xml:space="preserve">支出项名称</w:t>
            </w:r>
            <w:r/>
          </w:p>
        </w:tc>
        <w:tc>
          <w:tcPr>
            <w:tcW w:w="21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bidi="ar-SA"/>
              </w:rPr>
              <w:t xml:space="preserve">数量</w:t>
            </w:r>
            <w:r>
              <w:rPr>
                <w:rFonts w:hint="eastAsia" w:ascii="宋体" w:hAnsi="宋体" w:cs="宋体"/>
                <w:color w:val="333333"/>
                <w:spacing w:val="8"/>
                <w:sz w:val="28"/>
                <w:szCs w:val="28"/>
                <w:lang w:val="en-US" w:eastAsia="zh-CN" w:bidi="ar-SA"/>
              </w:rPr>
              <w:t xml:space="preserve">（个）</w:t>
            </w:r>
            <w:r/>
          </w:p>
        </w:tc>
        <w:tc>
          <w:tcPr>
            <w:tcW w:w="1578"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bidi="ar-SA"/>
              </w:rPr>
              <w:t xml:space="preserve">备注</w:t>
            </w:r>
            <w:r/>
          </w:p>
        </w:tc>
      </w:tr>
      <w:tr>
        <w:trPr>
          <w:jc w:val="center"/>
          <w:trHeight w:val="794"/>
        </w:trPr>
        <w:tc>
          <w:tcPr>
            <w:tcW w:w="104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bidi="ar-SA"/>
              </w:rPr>
              <w:t xml:space="preserve">1</w:t>
            </w:r>
            <w:r/>
          </w:p>
        </w:tc>
        <w:tc>
          <w:tcPr>
            <w:tcW w:w="4556"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bidi="ar-SA"/>
              </w:rPr>
              <w:t xml:space="preserve">云桌面服务（4C/8G/60G)</w:t>
            </w:r>
            <w:r/>
          </w:p>
        </w:tc>
        <w:tc>
          <w:tcPr>
            <w:tcW w:w="212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bidi="ar-SA"/>
              </w:rPr>
              <w:t xml:space="preserve">15</w:t>
            </w:r>
            <w:r/>
          </w:p>
        </w:tc>
        <w:tc>
          <w:tcPr>
            <w:tcW w:w="1578"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bidi="ar-SA"/>
              </w:rPr>
            </w:r>
            <w:r/>
          </w:p>
        </w:tc>
      </w:tr>
    </w:tbl>
    <w:p>
      <w:pPr>
        <w:rPr>
          <w:rFonts w:hint="eastAsia"/>
        </w:rPr>
      </w:pPr>
      <w:r>
        <w:rPr>
          <w:rFonts w:hint="eastAsia"/>
        </w:rPr>
      </w:r>
      <w:r/>
    </w:p>
    <w:p>
      <w:pPr>
        <w:pStyle w:val="1094"/>
        <w:ind w:left="0" w:firstLine="0"/>
        <w:jc w:val="center"/>
        <w:rPr>
          <w:rFonts w:hint="eastAsia" w:ascii="宋体" w:hAnsi="宋体" w:eastAsia="宋体" w:cs="宋体"/>
          <w:b/>
          <w:bCs/>
          <w:sz w:val="28"/>
          <w:szCs w:val="28"/>
          <w:lang w:val="en-US" w:eastAsia="zh-CN" w:bidi="ar-SA"/>
        </w:rPr>
      </w:pPr>
      <w:r>
        <w:rPr>
          <w:rFonts w:hint="eastAsia" w:ascii="宋体" w:hAnsi="宋体" w:eastAsia="宋体" w:cs="宋体"/>
          <w:sz w:val="28"/>
          <w:szCs w:val="28"/>
        </w:rPr>
        <w:t xml:space="preserve">★</w:t>
      </w:r>
      <w:r>
        <w:rPr>
          <w:rFonts w:hint="eastAsia" w:ascii="宋体" w:hAnsi="宋体" w:cs="宋体"/>
          <w:b/>
          <w:bCs/>
          <w:sz w:val="28"/>
          <w:szCs w:val="28"/>
          <w:lang w:val="en-US" w:eastAsia="zh-CN"/>
        </w:rPr>
        <w:t xml:space="preserve">02包</w:t>
      </w:r>
      <w:r/>
    </w:p>
    <w:p>
      <w:pPr>
        <w:pStyle w:val="1156"/>
        <w:ind w:left="0" w:firstLine="0"/>
        <w:rPr>
          <w:rFonts w:hint="default" w:ascii="宋体" w:hAnsi="宋体" w:cs="宋体"/>
          <w:sz w:val="28"/>
          <w:szCs w:val="28"/>
          <w:lang w:val="en-US" w:eastAsia="zh-CN"/>
        </w:rPr>
      </w:pPr>
      <w:r>
        <w:rPr>
          <w:rFonts w:hint="eastAsia" w:ascii="宋体" w:hAnsi="宋体" w:cs="宋体"/>
          <w:b/>
          <w:bCs/>
          <w:sz w:val="28"/>
          <w:szCs w:val="28"/>
          <w:lang w:val="en-US" w:eastAsia="zh-CN"/>
        </w:rPr>
        <w:t xml:space="preserve">一、</w:t>
      </w:r>
      <w:r>
        <w:rPr>
          <w:rFonts w:hint="eastAsia" w:cs="宋体"/>
          <w:b/>
          <w:bCs/>
          <w:sz w:val="28"/>
          <w:szCs w:val="28"/>
          <w:lang w:val="en-US" w:eastAsia="zh-CN"/>
        </w:rPr>
        <w:t xml:space="preserve">采购需求</w:t>
      </w:r>
      <w:r/>
    </w:p>
    <w:p>
      <w:pPr>
        <w:ind w:left="0" w:firstLine="560"/>
        <w:jc w:val="both"/>
        <w:rPr>
          <w:rFonts w:hint="eastAsia" w:ascii="宋体" w:hAnsi="宋体" w:cs="宋体"/>
          <w:sz w:val="28"/>
          <w:szCs w:val="28"/>
          <w:lang w:val="en-US" w:eastAsia="zh-CN"/>
        </w:rPr>
      </w:pPr>
      <w:r>
        <w:rPr>
          <w:rFonts w:hint="eastAsia" w:ascii="宋体" w:hAnsi="宋体" w:cs="宋体"/>
          <w:sz w:val="28"/>
          <w:szCs w:val="28"/>
          <w:lang w:val="en-US" w:eastAsia="zh-CN"/>
        </w:rPr>
        <w:t xml:space="preserve">1.本标段包含卫生院老院区门诊租赁20套云桌面服务，部署统一化、轻量化的办公与诊疗终端，替代传统 PC，降低运维成本，保障医疗数据安全。</w:t>
      </w:r>
      <w:r/>
    </w:p>
    <w:p>
      <w:pPr>
        <w:ind w:left="0" w:firstLine="560"/>
        <w:jc w:val="both"/>
        <w:rPr>
          <w:rFonts w:hint="eastAsia" w:ascii="宋体" w:hAnsi="宋体" w:cs="宋体"/>
          <w:sz w:val="28"/>
          <w:szCs w:val="28"/>
          <w:lang w:val="en-US" w:eastAsia="zh-CN"/>
        </w:rPr>
      </w:pPr>
      <w:r>
        <w:rPr>
          <w:rFonts w:hint="eastAsia" w:ascii="宋体" w:hAnsi="宋体" w:cs="宋体"/>
          <w:sz w:val="28"/>
          <w:szCs w:val="28"/>
          <w:lang w:val="en-US" w:eastAsia="zh-CN"/>
        </w:rPr>
        <w:t xml:space="preserve">2.核心目标：​</w:t>
      </w:r>
      <w:r/>
    </w:p>
    <w:p>
      <w:pPr>
        <w:numPr>
          <w:ilvl w:val="0"/>
          <w:numId w:val="3"/>
        </w:numPr>
        <w:ind w:left="1260" w:hanging="420"/>
        <w:jc w:val="both"/>
        <w:rPr>
          <w:rFonts w:hint="eastAsia" w:ascii="宋体" w:hAnsi="宋体" w:cs="宋体"/>
          <w:sz w:val="28"/>
          <w:szCs w:val="28"/>
          <w:lang w:val="en-US" w:eastAsia="zh-CN"/>
        </w:rPr>
      </w:pPr>
      <w:r>
        <w:rPr>
          <w:rFonts w:hint="eastAsia" w:ascii="宋体" w:hAnsi="宋体" w:cs="宋体"/>
          <w:sz w:val="28"/>
          <w:szCs w:val="28"/>
          <w:lang w:val="en-US" w:eastAsia="zh-CN"/>
        </w:rPr>
        <w:t xml:space="preserve">实现终端集中管理，减少现场运维工作量；​</w:t>
      </w:r>
      <w:r/>
    </w:p>
    <w:p>
      <w:pPr>
        <w:numPr>
          <w:ilvl w:val="0"/>
          <w:numId w:val="3"/>
        </w:numPr>
        <w:ind w:left="1260" w:hanging="420"/>
        <w:jc w:val="both"/>
        <w:rPr>
          <w:rFonts w:hint="eastAsia" w:ascii="宋体" w:hAnsi="宋体" w:cs="宋体"/>
          <w:sz w:val="28"/>
          <w:szCs w:val="28"/>
          <w:lang w:val="en-US" w:eastAsia="zh-CN"/>
        </w:rPr>
      </w:pPr>
      <w:r>
        <w:rPr>
          <w:rFonts w:hint="eastAsia" w:ascii="宋体" w:hAnsi="宋体" w:cs="宋体"/>
          <w:sz w:val="28"/>
          <w:szCs w:val="28"/>
          <w:lang w:val="en-US" w:eastAsia="zh-CN"/>
        </w:rPr>
        <w:t xml:space="preserve">保障电子病历、检验数据等医疗信息的保密性与完整性；​</w:t>
      </w:r>
      <w:r/>
    </w:p>
    <w:p>
      <w:pPr>
        <w:numPr>
          <w:ilvl w:val="0"/>
          <w:numId w:val="3"/>
        </w:numPr>
        <w:ind w:left="1260" w:hanging="420"/>
        <w:jc w:val="both"/>
        <w:rPr>
          <w:rFonts w:hint="eastAsia" w:ascii="宋体" w:hAnsi="宋体" w:cs="宋体"/>
          <w:sz w:val="28"/>
          <w:szCs w:val="28"/>
          <w:lang w:val="en-US" w:eastAsia="zh-CN"/>
        </w:rPr>
      </w:pPr>
      <w:r>
        <w:rPr>
          <w:rFonts w:hint="eastAsia" w:ascii="宋体" w:hAnsi="宋体" w:cs="宋体"/>
          <w:sz w:val="28"/>
          <w:szCs w:val="28"/>
          <w:lang w:val="en-US" w:eastAsia="zh-CN"/>
        </w:rPr>
        <w:t xml:space="preserve">支持医疗软件（如 HIS、LIS、PACS）稳定运行；​</w:t>
      </w:r>
      <w:r/>
    </w:p>
    <w:p>
      <w:pPr>
        <w:numPr>
          <w:ilvl w:val="0"/>
          <w:numId w:val="3"/>
        </w:numPr>
        <w:ind w:left="1260" w:hanging="420"/>
        <w:jc w:val="both"/>
        <w:rPr>
          <w:rFonts w:hint="eastAsia" w:ascii="宋体" w:hAnsi="宋体" w:cs="宋体"/>
          <w:sz w:val="28"/>
          <w:szCs w:val="28"/>
          <w:lang w:val="en-US" w:eastAsia="zh-CN"/>
        </w:rPr>
      </w:pPr>
      <w:r>
        <w:rPr>
          <w:rFonts w:hint="eastAsia" w:ascii="宋体" w:hAnsi="宋体" w:cs="宋体"/>
          <w:sz w:val="28"/>
          <w:szCs w:val="28"/>
          <w:lang w:val="en-US" w:eastAsia="zh-CN"/>
        </w:rPr>
        <w:t xml:space="preserve">降低硬件采购与长期能耗成本；​</w:t>
      </w:r>
      <w:r/>
    </w:p>
    <w:p>
      <w:pPr>
        <w:numPr>
          <w:ilvl w:val="0"/>
          <w:numId w:val="3"/>
        </w:numPr>
        <w:ind w:left="1260" w:hanging="420"/>
        <w:jc w:val="both"/>
        <w:rPr>
          <w:rFonts w:hint="eastAsia" w:ascii="宋体" w:hAnsi="宋体" w:cs="宋体"/>
          <w:sz w:val="28"/>
          <w:szCs w:val="28"/>
          <w:lang w:val="en-US" w:eastAsia="zh-CN"/>
        </w:rPr>
      </w:pPr>
      <w:r>
        <w:rPr>
          <w:rFonts w:hint="eastAsia" w:ascii="宋体" w:hAnsi="宋体" w:cs="宋体"/>
          <w:sz w:val="28"/>
          <w:szCs w:val="28"/>
          <w:lang w:val="en-US" w:eastAsia="zh-CN"/>
        </w:rPr>
        <w:t xml:space="preserve">满足多科室差异化使用需求。​</w:t>
      </w:r>
      <w:r/>
    </w:p>
    <w:p>
      <w:pPr>
        <w:ind w:left="0" w:firstLine="560"/>
        <w:jc w:val="both"/>
        <w:rPr>
          <w:rFonts w:hint="eastAsia" w:ascii="宋体" w:hAnsi="宋体" w:cs="宋体"/>
          <w:sz w:val="28"/>
          <w:szCs w:val="28"/>
          <w:lang w:val="en-US" w:eastAsia="zh-CN"/>
        </w:rPr>
      </w:pPr>
      <w:r>
        <w:rPr>
          <w:rFonts w:hint="eastAsia" w:ascii="宋体" w:hAnsi="宋体" w:cs="宋体"/>
          <w:sz w:val="28"/>
          <w:szCs w:val="28"/>
          <w:lang w:val="en-US" w:eastAsia="zh-CN"/>
        </w:rPr>
        <w:t xml:space="preserve">3.核心功能需求​</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   （一）终端管理功能​</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集中部署：</w:t>
      </w:r>
      <w:r>
        <w:rPr>
          <w:rFonts w:hint="eastAsia" w:ascii="宋体" w:hAnsi="宋体" w:cs="宋体"/>
          <w:sz w:val="28"/>
          <w:szCs w:val="28"/>
          <w:lang w:val="en-US" w:eastAsia="zh-CN"/>
        </w:rPr>
        <w:t xml:space="preserve">支持批量创建、部署云桌面，支持按科室分组管理（如门诊组、住院组）。​</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远程运维：</w:t>
      </w:r>
      <w:r>
        <w:rPr>
          <w:rFonts w:hint="eastAsia" w:ascii="宋体" w:hAnsi="宋体" w:cs="宋体"/>
          <w:sz w:val="28"/>
          <w:szCs w:val="28"/>
          <w:lang w:val="en-US" w:eastAsia="zh-CN"/>
        </w:rPr>
        <w:t xml:space="preserve">支持远程开机、关机、重启、桌面监控、故障排查，无需现场操作</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模板管理：</w:t>
      </w:r>
      <w:r>
        <w:rPr>
          <w:rFonts w:hint="eastAsia" w:ascii="宋体" w:hAnsi="宋体" w:cs="宋体"/>
          <w:sz w:val="28"/>
          <w:szCs w:val="28"/>
          <w:lang w:val="en-US" w:eastAsia="zh-CN"/>
        </w:rPr>
        <w:t xml:space="preserve">支持创建个性化桌面模板（如医生模板含HIS/LIS软件、行政模板含办公软件），可快速克隆部署。​</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权限管控：</w:t>
      </w:r>
      <w:r>
        <w:rPr>
          <w:rFonts w:hint="eastAsia" w:ascii="宋体" w:hAnsi="宋体" w:cs="宋体"/>
          <w:sz w:val="28"/>
          <w:szCs w:val="28"/>
          <w:lang w:val="en-US" w:eastAsia="zh-CN"/>
        </w:rPr>
        <w:t xml:space="preserve">基于角色分配权限（如管理员可修改配置、普通用户仅可使用桌面），防止误操作。​</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    （二）性能需求​</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运行稳定性：</w:t>
      </w:r>
      <w:r>
        <w:rPr>
          <w:rFonts w:hint="eastAsia" w:ascii="宋体" w:hAnsi="宋体" w:cs="宋体"/>
          <w:sz w:val="28"/>
          <w:szCs w:val="28"/>
          <w:lang w:val="en-US" w:eastAsia="zh-CN"/>
        </w:rPr>
        <w:t xml:space="preserve">支持7×24小时连续运行，无卡顿、闪退，桌面响应延迟≤200ms。</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医疗软件兼容性：</w:t>
      </w:r>
      <w:r>
        <w:rPr>
          <w:rFonts w:hint="eastAsia" w:ascii="宋体" w:hAnsi="宋体" w:cs="宋体"/>
          <w:sz w:val="28"/>
          <w:szCs w:val="28"/>
          <w:lang w:val="en-US" w:eastAsia="zh-CN"/>
        </w:rPr>
        <w:t xml:space="preserve">完美适配主流医疗系统（HIS、LIS、PACS、电子病历系统），支持DICOM图像浏览、检验数据传输、处方开具等核心操作，无兼容性报错。</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外设兼容性：</w:t>
      </w:r>
      <w:r>
        <w:rPr>
          <w:rFonts w:hint="eastAsia" w:ascii="宋体" w:hAnsi="宋体" w:cs="宋体"/>
          <w:sz w:val="28"/>
          <w:szCs w:val="28"/>
          <w:lang w:val="en-US" w:eastAsia="zh-CN"/>
        </w:rPr>
        <w:t xml:space="preserve">支持打印机、扫码枪、身份证读卡器、医保刷卡器、超声设备、检验仪器等医疗外设正常连接使用。​</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并发性能：</w:t>
      </w:r>
      <w:r>
        <w:rPr>
          <w:rFonts w:hint="eastAsia" w:ascii="宋体" w:hAnsi="宋体" w:cs="宋体"/>
          <w:sz w:val="28"/>
          <w:szCs w:val="28"/>
          <w:lang w:val="en-US" w:eastAsia="zh-CN"/>
        </w:rPr>
        <w:t xml:space="preserve">支持所有终端同时在线运行，服务器CPU使用率≤80%，内存使用率≤90%（满负载状态）。​</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    （三）数据安全需求​</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数据存储：</w:t>
      </w:r>
      <w:r>
        <w:rPr>
          <w:rFonts w:hint="eastAsia" w:ascii="宋体" w:hAnsi="宋体" w:cs="宋体"/>
          <w:sz w:val="28"/>
          <w:szCs w:val="28"/>
          <w:lang w:val="en-US" w:eastAsia="zh-CN"/>
        </w:rPr>
        <w:t xml:space="preserve">所有桌面数据集中存储于服务器，本地终端无数据残留，防止数据泄露。​</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访问控制：</w:t>
      </w:r>
      <w:r>
        <w:rPr>
          <w:rFonts w:hint="eastAsia" w:ascii="宋体" w:hAnsi="宋体" w:cs="宋体"/>
          <w:sz w:val="28"/>
          <w:szCs w:val="28"/>
          <w:lang w:val="en-US" w:eastAsia="zh-CN"/>
        </w:rPr>
        <w:t xml:space="preserve">支持密码、USB-KEY等认证方式，未授权用户无法登录云桌面；支持会话超时自动锁定。​</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数据备份</w:t>
      </w:r>
      <w:r>
        <w:rPr>
          <w:rFonts w:hint="eastAsia" w:ascii="宋体" w:hAnsi="宋体" w:cs="宋体"/>
          <w:sz w:val="28"/>
          <w:szCs w:val="28"/>
          <w:lang w:val="en-US" w:eastAsia="zh-CN"/>
        </w:rPr>
        <w:t xml:space="preserve">：支持定时自动备份桌面数据与配置，备份周期可自定义（如每日备份），支持数据快速恢复。​</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b/>
          <w:bCs/>
          <w:sz w:val="28"/>
          <w:szCs w:val="28"/>
          <w:lang w:val="en-US" w:eastAsia="zh-CN"/>
        </w:rPr>
        <w:t xml:space="preserve">    安全防护：</w:t>
      </w:r>
      <w:r>
        <w:rPr>
          <w:rFonts w:hint="eastAsia" w:ascii="宋体" w:hAnsi="宋体" w:cs="宋体"/>
          <w:sz w:val="28"/>
          <w:szCs w:val="28"/>
          <w:lang w:val="en-US" w:eastAsia="zh-CN"/>
        </w:rPr>
        <w:t xml:space="preserve">集成防病毒、防勒索功能，支持终端USB设备管控（如禁止非授权 U 盘拷贝数据），符合《医疗数据安全指南》要求。​</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   （四）易用性需求​</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    操作习惯：桌面界面与传统Windows系统一致，医护人员无需额外培训即可上手。​</w:t>
      </w:r>
      <w:r/>
    </w:p>
    <w:p>
      <w:pPr>
        <w:ind w:firstLine="0"/>
        <w:jc w:val="both"/>
        <w:keepLines w:val="0"/>
        <w:keepNext w:val="0"/>
        <w:pageBreakBefore w:val="0"/>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    故障自愈：桌面出现异常时，支持一键恢复至默认模板状态，不影响核心数据。</w:t>
      </w:r>
      <w:r/>
    </w:p>
    <w:p>
      <w:pPr>
        <w:numPr>
          <w:ilvl w:val="0"/>
          <w:numId w:val="0"/>
        </w:numPr>
        <w:ind w:left="0" w:firstLine="0"/>
        <w:rPr>
          <w:rFonts w:hint="eastAsia" w:ascii="宋体" w:hAnsi="宋体" w:eastAsia="宋体" w:cs="宋体"/>
          <w:b/>
          <w:bCs/>
          <w:sz w:val="28"/>
          <w:szCs w:val="28"/>
          <w:vertAlign w:val="baseline"/>
          <w:lang w:eastAsia="zh-CN"/>
        </w:rPr>
        <w:outlineLvl w:val="9"/>
      </w:pPr>
      <w:r>
        <w:rPr>
          <w:rFonts w:hint="eastAsia" w:ascii="宋体" w:hAnsi="宋体" w:cs="宋体"/>
          <w:b/>
          <w:bCs/>
          <w:sz w:val="28"/>
          <w:szCs w:val="28"/>
          <w:lang w:val="en-US" w:eastAsia="zh-CN"/>
        </w:rPr>
        <w:t xml:space="preserve">二、</w:t>
      </w:r>
      <w:r>
        <w:rPr>
          <w:rFonts w:hint="eastAsia" w:ascii="宋体" w:hAnsi="宋体" w:eastAsia="宋体" w:cs="宋体"/>
          <w:b/>
          <w:bCs/>
          <w:sz w:val="28"/>
          <w:szCs w:val="28"/>
          <w:lang w:eastAsia="zh-CN"/>
        </w:rPr>
        <w:t xml:space="preserve">服务设备清单</w:t>
      </w:r>
      <w:r/>
    </w:p>
    <w:tbl>
      <w:tblPr>
        <w:tblStyle w:val="1113"/>
        <w:tblW w:w="10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2267"/>
        <w:gridCol w:w="3912"/>
        <w:gridCol w:w="1605"/>
        <w:gridCol w:w="1461"/>
      </w:tblGrid>
      <w:tr>
        <w:trPr>
          <w:trHeight w:val="616"/>
        </w:trPr>
        <w:tc>
          <w:tcPr>
            <w:tcW w:w="83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序号</w:t>
            </w:r>
            <w:r/>
          </w:p>
        </w:tc>
        <w:tc>
          <w:tcPr>
            <w:tcW w:w="226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产品</w:t>
            </w:r>
            <w:r/>
          </w:p>
        </w:tc>
        <w:tc>
          <w:tcPr>
            <w:tcW w:w="39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配置</w:t>
            </w:r>
            <w:r/>
          </w:p>
        </w:tc>
        <w:tc>
          <w:tcPr>
            <w:tcW w:w="160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数量（个）</w:t>
            </w:r>
            <w:r/>
          </w:p>
        </w:tc>
        <w:tc>
          <w:tcPr>
            <w:tcW w:w="1461"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备注</w:t>
            </w:r>
            <w:r/>
          </w:p>
        </w:tc>
      </w:tr>
      <w:tr>
        <w:trPr>
          <w:trHeight w:val="616"/>
        </w:trPr>
        <w:tc>
          <w:tcPr>
            <w:tcW w:w="83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1</w:t>
            </w:r>
            <w:r/>
          </w:p>
        </w:tc>
        <w:tc>
          <w:tcPr>
            <w:tcW w:w="226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vertAlign w:val="baseline"/>
                <w:lang w:eastAsia="zh-CN"/>
              </w:rPr>
              <w:t xml:space="preserve">云桌面服务</w:t>
            </w:r>
            <w:r/>
          </w:p>
        </w:tc>
        <w:tc>
          <w:tcPr>
            <w:tcW w:w="39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vertAlign w:val="baseline"/>
                <w:lang w:eastAsia="zh-CN"/>
              </w:rPr>
              <w:t xml:space="preserve">4核8G，100G系统盘</w:t>
            </w:r>
            <w:r/>
          </w:p>
        </w:tc>
        <w:tc>
          <w:tcPr>
            <w:tcW w:w="160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20</w:t>
            </w:r>
            <w:r/>
          </w:p>
        </w:tc>
        <w:tc>
          <w:tcPr>
            <w:tcW w:w="1461"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vertAlign w:val="baseline"/>
                <w:lang w:eastAsia="zh-CN"/>
              </w:rPr>
            </w:r>
            <w:r/>
          </w:p>
        </w:tc>
      </w:tr>
      <w:tr>
        <w:trPr>
          <w:trHeight w:val="616"/>
        </w:trPr>
        <w:tc>
          <w:tcPr>
            <w:tcW w:w="83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2</w:t>
            </w:r>
            <w:r/>
          </w:p>
        </w:tc>
        <w:tc>
          <w:tcPr>
            <w:tcW w:w="226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瘦客户端</w:t>
            </w:r>
            <w:r/>
          </w:p>
        </w:tc>
        <w:tc>
          <w:tcPr>
            <w:tcW w:w="39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vertAlign w:val="baseline"/>
                <w:lang w:eastAsia="zh-CN"/>
              </w:rPr>
              <w:t xml:space="preserve">ARM 4核 2.0GH在，2G内存，8G存储，1*HDMI，1*RJ43，4*USB2.0,1*USB3.0,二合一音频接口，支撑背挂；</w:t>
            </w:r>
            <w:r/>
          </w:p>
        </w:tc>
        <w:tc>
          <w:tcPr>
            <w:tcW w:w="160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20</w:t>
            </w:r>
            <w:r/>
          </w:p>
        </w:tc>
        <w:tc>
          <w:tcPr>
            <w:tcW w:w="1461"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vertAlign w:val="baseline"/>
                <w:lang w:eastAsia="zh-CN"/>
              </w:rPr>
            </w:r>
            <w:r/>
          </w:p>
        </w:tc>
      </w:tr>
      <w:tr>
        <w:trPr>
          <w:trHeight w:val="701"/>
        </w:trPr>
        <w:tc>
          <w:tcPr>
            <w:tcW w:w="83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3</w:t>
            </w:r>
            <w:r/>
          </w:p>
        </w:tc>
        <w:tc>
          <w:tcPr>
            <w:tcW w:w="226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vertAlign w:val="baseline"/>
                <w:lang w:eastAsia="zh-CN"/>
              </w:rPr>
              <w:t xml:space="preserve">云桌面授权服务</w:t>
            </w:r>
            <w:r/>
          </w:p>
        </w:tc>
        <w:tc>
          <w:tcPr>
            <w:tcW w:w="39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云桌面授权</w:t>
            </w:r>
            <w:r/>
          </w:p>
        </w:tc>
        <w:tc>
          <w:tcPr>
            <w:tcW w:w="160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20</w:t>
            </w:r>
            <w:r/>
          </w:p>
        </w:tc>
        <w:tc>
          <w:tcPr>
            <w:tcW w:w="1461"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vertAlign w:val="baseline"/>
                <w:lang w:eastAsia="zh-CN"/>
              </w:rPr>
            </w:r>
            <w:r/>
          </w:p>
        </w:tc>
      </w:tr>
      <w:tr>
        <w:trPr>
          <w:trHeight w:val="636"/>
        </w:trPr>
        <w:tc>
          <w:tcPr>
            <w:tcW w:w="83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4</w:t>
            </w:r>
            <w:r/>
          </w:p>
        </w:tc>
        <w:tc>
          <w:tcPr>
            <w:tcW w:w="226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lang w:val="en-US" w:eastAsia="zh-CN"/>
              </w:rPr>
              <w:t xml:space="preserve">外设服务</w:t>
            </w:r>
            <w:r/>
          </w:p>
        </w:tc>
        <w:tc>
          <w:tcPr>
            <w:tcW w:w="3912"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lang w:val="en-US" w:eastAsia="zh-CN"/>
              </w:rPr>
              <w:t xml:space="preserve">提供满足办公的外设服务，包括不限制于显示器键盘鼠标等，显示器不低于24寸，支持1920*1080分辨率</w:t>
            </w:r>
            <w:r/>
          </w:p>
        </w:tc>
        <w:tc>
          <w:tcPr>
            <w:tcW w:w="160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val="en-US" w:eastAsia="zh-CN"/>
              </w:rPr>
              <w:suppressLineNumbers w:val="0"/>
            </w:pPr>
            <w:r>
              <w:rPr>
                <w:rFonts w:hint="eastAsia" w:ascii="宋体" w:hAnsi="宋体" w:eastAsia="宋体" w:cs="宋体"/>
                <w:sz w:val="28"/>
                <w:szCs w:val="28"/>
                <w:vertAlign w:val="baseline"/>
                <w:lang w:val="en-US" w:eastAsia="zh-CN"/>
              </w:rPr>
              <w:t xml:space="preserve">20</w:t>
            </w:r>
            <w:r/>
          </w:p>
        </w:tc>
        <w:tc>
          <w:tcPr>
            <w:tcW w:w="1461"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sz w:val="28"/>
                <w:szCs w:val="28"/>
                <w:vertAlign w:val="baseline"/>
                <w:lang w:eastAsia="zh-CN"/>
              </w:rPr>
              <w:suppressLineNumbers w:val="0"/>
            </w:pPr>
            <w:r>
              <w:rPr>
                <w:rFonts w:hint="eastAsia" w:ascii="宋体" w:hAnsi="宋体" w:eastAsia="宋体" w:cs="宋体"/>
                <w:sz w:val="28"/>
                <w:szCs w:val="28"/>
                <w:vertAlign w:val="baseline"/>
                <w:lang w:eastAsia="zh-CN"/>
              </w:rPr>
            </w:r>
            <w:r/>
          </w:p>
        </w:tc>
      </w:tr>
    </w:tbl>
    <w:p>
      <w:pPr>
        <w:numPr>
          <w:ilvl w:val="0"/>
          <w:numId w:val="0"/>
        </w:numPr>
        <w:ind w:left="0" w:firstLine="0"/>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bidi="ar-SA"/>
        </w:rPr>
        <w:t xml:space="preserve">三、</w:t>
      </w:r>
      <w:r>
        <w:rPr>
          <w:rFonts w:hint="eastAsia" w:ascii="宋体" w:hAnsi="宋体" w:eastAsia="宋体" w:cs="宋体"/>
          <w:b/>
          <w:bCs/>
          <w:sz w:val="28"/>
          <w:szCs w:val="28"/>
          <w:lang w:val="en-US" w:eastAsia="zh-CN"/>
        </w:rPr>
        <w:t xml:space="preserve">服务要求</w:t>
      </w:r>
      <w:r/>
    </w:p>
    <w:p>
      <w:pPr>
        <w:numPr>
          <w:ilvl w:val="0"/>
          <w:numId w:val="0"/>
        </w:num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1.服务期内要求提供5*24小时的全方位应急相应和技术支撑服务，1小时内效应，2小时内达到现场，4小时内故障解决。</w:t>
      </w:r>
      <w:r/>
    </w:p>
    <w:p>
      <w:pPr>
        <w:numPr>
          <w:ilvl w:val="0"/>
          <w:numId w:val="0"/>
        </w:num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2.服务期内提供无条件保修，包括但不限于软件、硬件以及授权服务。</w:t>
      </w:r>
      <w:r/>
    </w:p>
    <w:p>
      <w:pPr>
        <w:numPr>
          <w:ilvl w:val="0"/>
          <w:numId w:val="0"/>
        </w:numPr>
        <w:jc w:val="center"/>
        <w:pageBreakBefore w:val="0"/>
        <w:spacing w:before="0" w:after="0" w:line="360"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pStyle w:val="1094"/>
        <w:ind w:left="0" w:firstLine="0"/>
        <w:jc w:val="center"/>
        <w:rPr>
          <w:rFonts w:hint="eastAsia" w:ascii="宋体" w:hAnsi="宋体" w:eastAsia="宋体" w:cs="宋体"/>
          <w:sz w:val="28"/>
          <w:szCs w:val="28"/>
          <w:lang w:val="en-US" w:eastAsia="zh-CN"/>
        </w:rPr>
      </w:pPr>
      <w:r>
        <w:rPr>
          <w:rFonts w:hint="eastAsia" w:ascii="宋体" w:hAnsi="宋体" w:eastAsia="宋体" w:cs="宋体"/>
          <w:sz w:val="28"/>
          <w:szCs w:val="28"/>
        </w:rPr>
        <w:t xml:space="preserve">★</w:t>
      </w:r>
      <w:r>
        <w:rPr>
          <w:rFonts w:hint="eastAsia" w:ascii="宋体" w:hAnsi="宋体" w:eastAsia="宋体" w:cs="宋体"/>
          <w:b/>
          <w:bCs/>
          <w:sz w:val="28"/>
          <w:szCs w:val="28"/>
          <w:lang w:val="en-US" w:eastAsia="zh-CN"/>
        </w:rPr>
        <w:t xml:space="preserve">03包</w:t>
      </w:r>
      <w:r/>
    </w:p>
    <w:p>
      <w:pPr>
        <w:pStyle w:val="1156"/>
        <w:numPr>
          <w:numId w:val="0"/>
        </w:num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一、采购需求</w:t>
      </w:r>
      <w:r/>
    </w:p>
    <w:p>
      <w:pPr>
        <w:numPr>
          <w:ilvl w:val="0"/>
          <w:numId w:val="0"/>
        </w:numPr>
        <w:ind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1.本标段包含卫生院新院区门诊、住院、检验、药房等多个科室，租赁77套云桌面服务，部署统一化、轻量化的办公与诊疗终端，替代传统 PC，降低运维成本，保障医疗数据安全。</w:t>
      </w:r>
      <w:r/>
    </w:p>
    <w:p>
      <w:pPr>
        <w:numPr>
          <w:ilvl w:val="0"/>
          <w:numId w:val="0"/>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2.核心目标：</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实现终端集中管理，减少现场运维工作量；</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保障电子病历、检验数据等医疗信息的保密性与完整性；</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支持医疗软件（如 HIS、LIS、PACS）稳定运行；</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降低硬件采购与长期能耗成本；</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满足多科室差异化使用需求。</w:t>
      </w:r>
      <w:r/>
    </w:p>
    <w:p>
      <w:pPr>
        <w:numPr>
          <w:ilvl w:val="0"/>
          <w:numId w:val="0"/>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3.核心功能需求​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（一）终端管理功能​</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集中部署：</w:t>
      </w:r>
      <w:r>
        <w:rPr>
          <w:rFonts w:hint="eastAsia" w:ascii="宋体" w:hAnsi="宋体" w:eastAsia="宋体" w:cs="宋体"/>
          <w:sz w:val="28"/>
          <w:szCs w:val="28"/>
          <w:lang w:val="en-US" w:eastAsia="zh-CN"/>
        </w:rPr>
        <w:t xml:space="preserve">支持批量创建、部署云桌面，支持按科室分组管理（如门诊组、住院组）。</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远程运维：</w:t>
      </w:r>
      <w:r>
        <w:rPr>
          <w:rFonts w:hint="eastAsia" w:ascii="宋体" w:hAnsi="宋体" w:eastAsia="宋体" w:cs="宋体"/>
          <w:sz w:val="28"/>
          <w:szCs w:val="28"/>
          <w:lang w:val="en-US" w:eastAsia="zh-CN"/>
        </w:rPr>
        <w:t xml:space="preserve">支持远程开机、关机、重启、桌面监控、故障排查，无需现场操作。</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模板管理：</w:t>
      </w:r>
      <w:r>
        <w:rPr>
          <w:rFonts w:hint="eastAsia" w:ascii="宋体" w:hAnsi="宋体" w:eastAsia="宋体" w:cs="宋体"/>
          <w:sz w:val="28"/>
          <w:szCs w:val="28"/>
          <w:lang w:val="en-US" w:eastAsia="zh-CN"/>
        </w:rPr>
        <w:t xml:space="preserve">支持创建个性化桌面模板（如医生模板含 HIS/LIS 软件、行政模板含办公软件），可快速克隆部署。</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权限管控：</w:t>
      </w:r>
      <w:r>
        <w:rPr>
          <w:rFonts w:hint="eastAsia" w:ascii="宋体" w:hAnsi="宋体" w:eastAsia="宋体" w:cs="宋体"/>
          <w:sz w:val="28"/>
          <w:szCs w:val="28"/>
          <w:lang w:val="en-US" w:eastAsia="zh-CN"/>
        </w:rPr>
        <w:t xml:space="preserve">基于角色分配权限（如管理员可修改配置、普通用户仅可使用桌面），防止误操作。</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（二）性能需求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运行稳定性：</w:t>
      </w:r>
      <w:r>
        <w:rPr>
          <w:rFonts w:hint="eastAsia" w:ascii="宋体" w:hAnsi="宋体" w:eastAsia="宋体" w:cs="宋体"/>
          <w:sz w:val="28"/>
          <w:szCs w:val="28"/>
          <w:lang w:val="en-US" w:eastAsia="zh-CN"/>
        </w:rPr>
        <w:t xml:space="preserve">支持7×24小时连续运行，无卡顿、闪退，桌面响应延迟≤200ms。</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医疗软件兼容性：</w:t>
      </w:r>
      <w:r>
        <w:rPr>
          <w:rFonts w:hint="eastAsia" w:ascii="宋体" w:hAnsi="宋体" w:eastAsia="宋体" w:cs="宋体"/>
          <w:sz w:val="28"/>
          <w:szCs w:val="28"/>
          <w:lang w:val="en-US" w:eastAsia="zh-CN"/>
        </w:rPr>
        <w:t xml:space="preserve">完美适配主流医疗系统（HIS、LIS、PACS、电子病历系统），支持DICOM图像浏览、检验数据传输、处方开具等核心操作，无兼容性报错。</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外设兼容性：</w:t>
      </w:r>
      <w:r>
        <w:rPr>
          <w:rFonts w:hint="eastAsia" w:ascii="宋体" w:hAnsi="宋体" w:eastAsia="宋体" w:cs="宋体"/>
          <w:sz w:val="28"/>
          <w:szCs w:val="28"/>
          <w:lang w:val="en-US" w:eastAsia="zh-CN"/>
        </w:rPr>
        <w:t xml:space="preserve">支持打印机、扫码枪、身份证读卡器、医保刷卡器、超声设备、检验仪器等医疗外设正常连接使用。​</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并发性能：</w:t>
      </w:r>
      <w:r>
        <w:rPr>
          <w:rFonts w:hint="eastAsia" w:ascii="宋体" w:hAnsi="宋体" w:eastAsia="宋体" w:cs="宋体"/>
          <w:sz w:val="28"/>
          <w:szCs w:val="28"/>
          <w:lang w:val="en-US" w:eastAsia="zh-CN"/>
        </w:rPr>
        <w:t xml:space="preserve">支持所有终端同时在线运行，服务器CPU使用率≤80%，内存使用率≤90%（满负载状态）。​</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（三）数据安全需求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数据存储：</w:t>
      </w:r>
      <w:r>
        <w:rPr>
          <w:rFonts w:hint="eastAsia" w:ascii="宋体" w:hAnsi="宋体" w:eastAsia="宋体" w:cs="宋体"/>
          <w:sz w:val="28"/>
          <w:szCs w:val="28"/>
          <w:lang w:val="en-US" w:eastAsia="zh-CN"/>
        </w:rPr>
        <w:t xml:space="preserve">所有桌面数据集中存储于服务器，本地终端无数据残留，防止数据泄露。</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访问控制：</w:t>
      </w:r>
      <w:r>
        <w:rPr>
          <w:rFonts w:hint="eastAsia" w:ascii="宋体" w:hAnsi="宋体" w:eastAsia="宋体" w:cs="宋体"/>
          <w:sz w:val="28"/>
          <w:szCs w:val="28"/>
          <w:lang w:val="en-US" w:eastAsia="zh-CN"/>
        </w:rPr>
        <w:t xml:space="preserve">支持密码、USB-KEY等认证方式，未授权用户无法登录云桌面；支持会话超时自动锁定。​</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数据备份</w:t>
      </w:r>
      <w:r>
        <w:rPr>
          <w:rFonts w:hint="eastAsia" w:ascii="宋体" w:hAnsi="宋体" w:eastAsia="宋体" w:cs="宋体"/>
          <w:sz w:val="28"/>
          <w:szCs w:val="28"/>
          <w:lang w:val="en-US" w:eastAsia="zh-CN"/>
        </w:rPr>
        <w:t xml:space="preserve">：支持定时自动备份桌面数据与配置，备份周期可自定义（如每日备份），支持数据快速恢复。</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安全防护：</w:t>
      </w:r>
      <w:r>
        <w:rPr>
          <w:rFonts w:hint="eastAsia" w:ascii="宋体" w:hAnsi="宋体" w:eastAsia="宋体" w:cs="宋体"/>
          <w:sz w:val="28"/>
          <w:szCs w:val="28"/>
          <w:lang w:val="en-US" w:eastAsia="zh-CN"/>
        </w:rPr>
        <w:t xml:space="preserve">集成防病毒、防勒索功能，支持终端USB设备管控（如禁止非授权 U 盘拷贝数据），符合《医疗数据安全指南》要求。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（四）易用性需求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操作习惯：桌面界面与传统Windows系统一致，医护人员无需额外培训即可上手。</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故障自愈：桌面出现异常时，支持一键恢复至默认模板状态，不影响核心数据。</w:t>
      </w:r>
      <w:r/>
    </w:p>
    <w:p>
      <w:pPr>
        <w:pStyle w:val="1156"/>
        <w:ind w:left="0" w:firstLine="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二、服务清单</w:t>
      </w:r>
      <w:r/>
    </w:p>
    <w:tbl>
      <w:tblPr>
        <w:tblStyle w:val="1113"/>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1261"/>
        <w:gridCol w:w="4977"/>
        <w:gridCol w:w="1206"/>
        <w:gridCol w:w="945"/>
      </w:tblGrid>
      <w:tr>
        <w:trPr>
          <w:trHeight w:val="582"/>
        </w:trPr>
        <w:tc>
          <w:tcPr>
            <w:tcW w:w="106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序号</w:t>
            </w:r>
            <w:r/>
          </w:p>
        </w:tc>
        <w:tc>
          <w:tcPr>
            <w:tcW w:w="1261"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产品</w:t>
            </w:r>
            <w:r/>
          </w:p>
        </w:tc>
        <w:tc>
          <w:tcPr>
            <w:tcW w:w="497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配置</w:t>
            </w:r>
            <w:r/>
          </w:p>
        </w:tc>
        <w:tc>
          <w:tcPr>
            <w:tcW w:w="1206"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数量（个）</w:t>
            </w:r>
            <w:r/>
          </w:p>
        </w:tc>
        <w:tc>
          <w:tcPr>
            <w:tcW w:w="94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备注</w:t>
            </w:r>
            <w:r/>
          </w:p>
        </w:tc>
      </w:tr>
      <w:tr>
        <w:trPr>
          <w:trHeight w:val="626"/>
        </w:trPr>
        <w:tc>
          <w:tcPr>
            <w:tcW w:w="106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1</w:t>
            </w:r>
            <w:r/>
          </w:p>
        </w:tc>
        <w:tc>
          <w:tcPr>
            <w:tcW w:w="1261"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rPr>
              <w:t xml:space="preserve">云终端</w:t>
            </w:r>
            <w:r/>
          </w:p>
        </w:tc>
        <w:tc>
          <w:tcPr>
            <w:tcW w:w="4977" w:type="dxa"/>
            <w:vAlign w:val="center"/>
            <w:textDirection w:val="lrTb"/>
            <w:noWrap w:val="false"/>
          </w:tcPr>
          <w:p>
            <w:pPr>
              <w:numPr>
                <w:numId w:val="0"/>
              </w:numPr>
              <w:ind w:right="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要求桌面云终端机CPU主频≥1.6GHz,内存≥1GB，硬盘容量≥4GB，至少配备1个百兆电口，1个VGA或HDMI接口，6个USB接口</w:t>
            </w:r>
            <w:r>
              <w:rPr>
                <w:rFonts w:hint="eastAsia" w:ascii="宋体" w:hAnsi="宋体" w:eastAsia="宋体" w:cs="宋体"/>
                <w:sz w:val="28"/>
                <w:szCs w:val="28"/>
              </w:rPr>
              <w:br/>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本项目配备的桌面云终端，要求与桌面云软件、桌面云服务器为同一品牌，每台桌面云终端配备相应用户授权软件，提供</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年原厂质保，软件及规则库升级。</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本项目要求管理方式为虚拟机和瘦终端统一管理，降低管理难度</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本项目要求支持分组管理、批量移动、删除、关闭瘦终端</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支持配置定时开关机计划及加电自启动功能，</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支持自定义开机画面、配置自动登录和保存密码。</w:t>
            </w:r>
            <w:r/>
          </w:p>
          <w:p>
            <w:pPr>
              <w:ind w:left="0" w:right="0" w:firstLine="0"/>
              <w:jc w:val="left"/>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本项目要求所投产品使用方式需与PC使用习惯一致，支持显示虚拟机开关机画面、需支持分辨率自适应和更改分辨率、需支持与本地操作系统、AD域等实现单点登录。</w:t>
            </w:r>
            <w:r/>
          </w:p>
        </w:tc>
        <w:tc>
          <w:tcPr>
            <w:tcW w:w="1206"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77</w:t>
            </w:r>
            <w:r/>
          </w:p>
        </w:tc>
        <w:tc>
          <w:tcPr>
            <w:tcW w:w="94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r>
        <w:trPr>
          <w:trHeight w:val="879"/>
        </w:trPr>
        <w:tc>
          <w:tcPr>
            <w:tcW w:w="106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2</w:t>
            </w:r>
            <w:r/>
          </w:p>
        </w:tc>
        <w:tc>
          <w:tcPr>
            <w:tcW w:w="1261"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lang w:val="en-US" w:eastAsia="zh-CN"/>
              </w:rPr>
              <w:t xml:space="preserve">桌面</w:t>
            </w:r>
            <w:r>
              <w:rPr>
                <w:rFonts w:hint="eastAsia" w:ascii="宋体" w:hAnsi="宋体" w:eastAsia="宋体" w:cs="宋体"/>
                <w:color w:val="000000"/>
                <w:sz w:val="28"/>
                <w:szCs w:val="28"/>
              </w:rPr>
              <w:t xml:space="preserve">云服务器</w:t>
            </w:r>
            <w:r/>
          </w:p>
        </w:tc>
        <w:tc>
          <w:tcPr>
            <w:tcW w:w="497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要求桌面云服务器CPU核数≥12,CPU主频≥2.4GHz，内存≥192GB，系统盘≥480GB，固态硬盘≥1920GB，机械硬盘≥16TB，至少配备6个千兆电口和2个万兆光口，产品规格≥2U， 配备冗余电源.</w:t>
            </w:r>
            <w:r>
              <w:rPr>
                <w:rFonts w:hint="eastAsia" w:ascii="宋体" w:hAnsi="宋体" w:eastAsia="宋体" w:cs="宋体"/>
                <w:sz w:val="28"/>
                <w:szCs w:val="28"/>
              </w:rPr>
              <w:br/>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本项目至少配备 </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台桌面云服务器，要求桌面云服务器与桌面云终端、桌面云软件为同一品牌，出厂时必须预装各类桌面云软件（含服务器虚拟化、存储虚拟化等）</w:t>
            </w:r>
            <w:r/>
          </w:p>
        </w:tc>
        <w:tc>
          <w:tcPr>
            <w:tcW w:w="1206"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77</w:t>
            </w:r>
            <w:r/>
          </w:p>
        </w:tc>
        <w:tc>
          <w:tcPr>
            <w:tcW w:w="94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r>
        <w:trPr>
          <w:trHeight w:val="527"/>
        </w:trPr>
        <w:tc>
          <w:tcPr>
            <w:tcW w:w="106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3</w:t>
            </w:r>
            <w:r/>
          </w:p>
        </w:tc>
        <w:tc>
          <w:tcPr>
            <w:tcW w:w="1261"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rPr>
              <w:t xml:space="preserve">桌面云软件</w:t>
            </w:r>
            <w:r/>
          </w:p>
        </w:tc>
        <w:tc>
          <w:tcPr>
            <w:tcW w:w="497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本项目要求集群中服务器的添加支持热添加，在添加过程中不影响运行中的虚拟机。</w:t>
            </w:r>
            <w:r>
              <w:rPr>
                <w:rFonts w:hint="eastAsia" w:ascii="宋体" w:hAnsi="宋体" w:eastAsia="宋体" w:cs="宋体"/>
                <w:sz w:val="28"/>
                <w:szCs w:val="28"/>
              </w:rPr>
              <w:br/>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本项目要求支持数据冗余副本技术，每份数据同时写入多台服务器，每次数据变化时自动实时同步，确保磁盘或服务器故障，数据不丢失</w:t>
            </w:r>
            <w:r>
              <w:rPr>
                <w:rFonts w:hint="eastAsia" w:ascii="宋体" w:hAnsi="宋体" w:eastAsia="宋体" w:cs="宋体"/>
                <w:sz w:val="28"/>
                <w:szCs w:val="28"/>
              </w:rPr>
              <w:br/>
            </w: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本项目要求支持故障自动切换，硬盘故障，存储则会被重新指向另外一台服务器上可用的数据副本</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本项目要求桌面控制器需支持DHCP功能，无需额外搭建DHCP服务器，可实现终端和虚拟机IP的动态分配。</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本项目要求支持虚拟机快照技术，当数据误删或系统故障时可实现回滚，快照只保存增量数据，节省存储空间。</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支持客户端准入检测，可根据用户接入的终端类型、操作系统版本、接入IP和时间、软件安装情况等条件设置接入访问策略，如客户端不满足安全检测要求则不允许接入</w:t>
            </w:r>
            <w:r/>
          </w:p>
          <w:p>
            <w:pPr>
              <w:ind w:left="0" w:right="0" w:firstLine="0"/>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桌面云控软件内置防火墙，包括设置过滤规则、NAT设置、访问监控、防DOS攻击</w:t>
            </w:r>
            <w:r/>
          </w:p>
        </w:tc>
        <w:tc>
          <w:tcPr>
            <w:tcW w:w="1206"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1</w:t>
            </w:r>
            <w:r/>
          </w:p>
        </w:tc>
        <w:tc>
          <w:tcPr>
            <w:tcW w:w="94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r>
        <w:trPr>
          <w:trHeight w:val="879"/>
        </w:trPr>
        <w:tc>
          <w:tcPr>
            <w:tcW w:w="106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4</w:t>
            </w:r>
            <w:r/>
          </w:p>
        </w:tc>
        <w:tc>
          <w:tcPr>
            <w:tcW w:w="1261"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rPr>
              <w:t xml:space="preserve">桌面云控制器</w:t>
            </w:r>
            <w:r/>
          </w:p>
        </w:tc>
        <w:tc>
          <w:tcPr>
            <w:tcW w:w="497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1.桌面云用户授权支持发布专有桌面、还原桌面、共享桌面、远程应用至少5种桌面资源，满足不同场景的应用需求</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2.桌面云控制器所有组件完全集成化，即不需要过多的安装调试步骤，后台导入一个镜像就可以完成部署</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3.桌面控制器需支持DHCP功能，无需额外搭建DHCP服务器，可实现终端和虚拟机IP的动态分配</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4.支持用户可自助申请虚拟机配置变更，由管理员审核，管理员可以选择审批通过、修改申请配置后申请通过、驳回操作，审核通过资源自动加到用户虚拟机上。并且用户申请虚拟机配置变更可以直接指定给部门资产管理员审批，既符合规定又提高效率</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5.所投产品支持自助快照恢复，当用户自己误操作导致云桌面卡慢、蓝屏、死机或者中病毒的时候，用户通过导航条按钮，可以自助进行系统盘快照还原操作，支持安卓瘦终端、PC客户端</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6.支持集群模式，在不增加第三方负载均衡的情况下，可实现桌面云控制器宕机切换会话不中断</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7.所投产品支持模板升级，可以统一安装所需要升级的软件/补丁，一键更新到指定的虚拟机，满足标准化场景的软件和补丁更新需求，并不影响非c盘目录下个人数据。并可以设置虚拟机下次重启更新至模版状态，不影响当下使用</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8.支持在无需安装其他软件的情况下，管理员可以远程协助维护虚拟机，即管理员在桌面云控制端中可以直接向需要协助的用户发起远程协助</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9.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w:t>
            </w:r>
            <w:r/>
          </w:p>
          <w:p>
            <w:pPr>
              <w:ind w:left="0" w:right="0" w:firstLine="0"/>
              <w:jc w:val="left"/>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rPr>
              <w:t xml:space="preserve">10.提供</w:t>
            </w:r>
            <w:r>
              <w:rPr>
                <w:rFonts w:hint="eastAsia" w:ascii="宋体" w:hAnsi="宋体" w:eastAsia="宋体" w:cs="宋体"/>
                <w:color w:val="000000"/>
                <w:sz w:val="28"/>
                <w:szCs w:val="28"/>
                <w:lang w:val="en-US" w:eastAsia="zh-CN"/>
              </w:rPr>
              <w:t xml:space="preserve">77</w:t>
            </w:r>
            <w:r>
              <w:rPr>
                <w:rFonts w:hint="eastAsia" w:ascii="宋体" w:hAnsi="宋体" w:eastAsia="宋体" w:cs="宋体"/>
                <w:color w:val="000000"/>
                <w:sz w:val="28"/>
                <w:szCs w:val="28"/>
              </w:rPr>
              <w:t xml:space="preserve">个云桌面授权。</w:t>
            </w:r>
            <w:r/>
          </w:p>
        </w:tc>
        <w:tc>
          <w:tcPr>
            <w:tcW w:w="1206"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1</w:t>
            </w:r>
            <w:r/>
          </w:p>
        </w:tc>
        <w:tc>
          <w:tcPr>
            <w:tcW w:w="94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r>
        <w:trPr>
          <w:trHeight w:val="1758"/>
        </w:trPr>
        <w:tc>
          <w:tcPr>
            <w:tcW w:w="106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5</w:t>
            </w:r>
            <w:r/>
          </w:p>
        </w:tc>
        <w:tc>
          <w:tcPr>
            <w:tcW w:w="1261"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外设服务</w:t>
            </w:r>
            <w:r/>
          </w:p>
        </w:tc>
        <w:tc>
          <w:tcPr>
            <w:tcW w:w="497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lang w:val="en-US" w:eastAsia="zh-CN"/>
              </w:rPr>
              <w:t xml:space="preserve">提供满足办公的外设服务，包括不限制于显示器键盘鼠标等，显示器不低于21.5寸，支持1920*1080分辨率</w:t>
            </w:r>
            <w:r/>
          </w:p>
        </w:tc>
        <w:tc>
          <w:tcPr>
            <w:tcW w:w="1206"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77</w:t>
            </w:r>
            <w:r/>
          </w:p>
        </w:tc>
        <w:tc>
          <w:tcPr>
            <w:tcW w:w="945"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bl>
    <w:p>
      <w:pPr>
        <w:ind w:left="0" w:firstLine="0"/>
        <w:jc w:val="both"/>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三、项目其他要求</w:t>
      </w:r>
      <w:r/>
    </w:p>
    <w:p>
      <w:pPr>
        <w:ind w:left="280" w:firstLine="28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（一）售后服务</w:t>
      </w:r>
      <w:r/>
    </w:p>
    <w:p>
      <w:pPr>
        <w:ind w:left="0" w:firstLine="56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用户名单，提供医护操作人员的操作培训，维修工程师免费一周的维修培训，提供维修资料。零配件应保证1年以上的供应期，提供主要零配件的优惠价，并提供保修期后的修理人工费及年保费用，标明发生故障后的响应时间及到达时间，并允诺做不到的赔偿条件。</w:t>
      </w:r>
      <w:r/>
    </w:p>
    <w:p>
      <w:pPr>
        <w:ind w:left="280" w:firstLine="28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（二）其他要求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1.所提供货物质量必须符合国家相关标准，必须满足本次租赁的要求，若所供货物经产品质量检测机构检测认定质量不合格，造成的损失和后果由该供应商负全责。</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供应商必须为交付的所有货物按照国家的相关法规提供免费保修。在产品保修期内，一旦发生质量问题，供应商保证在接到通知工作日的24小时内到现场进行维修、更换或退货，费用由供应商负责。如供应商在接到通知工作日的24小时内没有答复或处理问题，则视为供应商承认质量问题并承担由此而发生的一切费用。保修期间产品的一切质量问题，更换部件及产品本身质量原因造成的直接经济损失应全部由供应商自行负责。</w:t>
      </w:r>
      <w:r/>
    </w:p>
    <w:p>
      <w:pPr>
        <w:ind w:left="0" w:firstLine="0"/>
        <w:jc w:val="both"/>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pStyle w:val="1094"/>
        <w:ind w:left="0" w:firstLine="0"/>
        <w:jc w:val="center"/>
        <w:rPr>
          <w:rFonts w:hint="eastAsia" w:ascii="宋体" w:hAnsi="宋体" w:eastAsia="宋体" w:cs="宋体"/>
          <w:b/>
          <w:bCs/>
          <w:sz w:val="28"/>
          <w:szCs w:val="28"/>
          <w:lang w:val="en-US" w:eastAsia="zh-CN"/>
        </w:rPr>
      </w:pPr>
      <w:r>
        <w:rPr>
          <w:rFonts w:hint="eastAsia" w:ascii="宋体" w:hAnsi="宋体" w:eastAsia="宋体" w:cs="宋体"/>
          <w:sz w:val="28"/>
          <w:szCs w:val="28"/>
        </w:rPr>
        <w:t xml:space="preserve">★</w:t>
      </w:r>
      <w:r>
        <w:rPr>
          <w:rFonts w:hint="eastAsia" w:ascii="宋体" w:hAnsi="宋体" w:eastAsia="宋体" w:cs="宋体"/>
          <w:b/>
          <w:bCs/>
          <w:sz w:val="28"/>
          <w:szCs w:val="28"/>
          <w:lang w:val="en-US" w:eastAsia="zh-CN"/>
        </w:rPr>
        <w:t xml:space="preserve">04包</w:t>
      </w:r>
      <w:r/>
    </w:p>
    <w:p>
      <w:pPr>
        <w:pStyle w:val="1156"/>
        <w:ind w:left="0" w:firstLine="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一、采购需求</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1.本标段包含卫生院新院住院部，租赁30套云桌面服务，部署统一化、轻量化的办公与诊疗终端，替代传统 PC，降低运维成本，保障医疗数据安全。</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 核心目标：​</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实现终端集中管理，减少现场运维工作量；​</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保障电子病历、检验数据等医疗信息的保密性与完整性；​</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支持医疗软件（如 HIS、LIS、PACS）稳定运行；​</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降低硬件采购与长期能耗成本；​</w:t>
      </w:r>
      <w:r/>
    </w:p>
    <w:p>
      <w:pPr>
        <w:numPr>
          <w:ilvl w:val="0"/>
          <w:numId w:val="3"/>
        </w:numPr>
        <w:ind w:left="1260" w:hanging="42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满足多科室差异化使用需求。​</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 核心功能需求​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（一）终端管理功能​</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集中部署：</w:t>
      </w:r>
      <w:r>
        <w:rPr>
          <w:rFonts w:hint="eastAsia" w:ascii="宋体" w:hAnsi="宋体" w:eastAsia="宋体" w:cs="宋体"/>
          <w:sz w:val="28"/>
          <w:szCs w:val="28"/>
          <w:lang w:val="en-US" w:eastAsia="zh-CN"/>
        </w:rPr>
        <w:t xml:space="preserve">支持批量创建、部署云桌面，支持按科室分组管理（如门诊组、住院组）。​</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远程运维：</w:t>
      </w:r>
      <w:r>
        <w:rPr>
          <w:rFonts w:hint="eastAsia" w:ascii="宋体" w:hAnsi="宋体" w:eastAsia="宋体" w:cs="宋体"/>
          <w:sz w:val="28"/>
          <w:szCs w:val="28"/>
          <w:lang w:val="en-US" w:eastAsia="zh-CN"/>
        </w:rPr>
        <w:t xml:space="preserve">支持远程开机、关机、重启、桌面监控、故障排查，无需现场操作</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模板管理：</w:t>
      </w:r>
      <w:r>
        <w:rPr>
          <w:rFonts w:hint="eastAsia" w:ascii="宋体" w:hAnsi="宋体" w:eastAsia="宋体" w:cs="宋体"/>
          <w:sz w:val="28"/>
          <w:szCs w:val="28"/>
          <w:lang w:val="en-US" w:eastAsia="zh-CN"/>
        </w:rPr>
        <w:t xml:space="preserve">支持创建个性化桌面模板（如医生模板含HIS/LIS软件、行政模板含办公软件），可快速克隆部署。​</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权限管控：</w:t>
      </w:r>
      <w:r>
        <w:rPr>
          <w:rFonts w:hint="eastAsia" w:ascii="宋体" w:hAnsi="宋体" w:eastAsia="宋体" w:cs="宋体"/>
          <w:sz w:val="28"/>
          <w:szCs w:val="28"/>
          <w:lang w:val="en-US" w:eastAsia="zh-CN"/>
        </w:rPr>
        <w:t xml:space="preserve">基于角色分配权限（如管理员可修改配置、普通用户仅可使用桌面），防止误操作。​</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（二）性能需求​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运行稳定性：</w:t>
      </w:r>
      <w:r>
        <w:rPr>
          <w:rFonts w:hint="eastAsia" w:ascii="宋体" w:hAnsi="宋体" w:eastAsia="宋体" w:cs="宋体"/>
          <w:sz w:val="28"/>
          <w:szCs w:val="28"/>
          <w:lang w:val="en-US" w:eastAsia="zh-CN"/>
        </w:rPr>
        <w:t xml:space="preserve">支持7×24小时连续运行，无卡顿、闪退，桌面响应延迟≤200ms。</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医疗软件兼容性：</w:t>
      </w:r>
      <w:r>
        <w:rPr>
          <w:rFonts w:hint="eastAsia" w:ascii="宋体" w:hAnsi="宋体" w:eastAsia="宋体" w:cs="宋体"/>
          <w:sz w:val="28"/>
          <w:szCs w:val="28"/>
          <w:lang w:val="en-US" w:eastAsia="zh-CN"/>
        </w:rPr>
        <w:t xml:space="preserve">完美适配主流医疗系统（HIS、LIS、PACS、电子病历系统），支持DICOM图像浏览、检验数据传输、处方开具等核心操作，无兼容性报错。</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外设兼容性：</w:t>
      </w:r>
      <w:r>
        <w:rPr>
          <w:rFonts w:hint="eastAsia" w:ascii="宋体" w:hAnsi="宋体" w:eastAsia="宋体" w:cs="宋体"/>
          <w:sz w:val="28"/>
          <w:szCs w:val="28"/>
          <w:lang w:val="en-US" w:eastAsia="zh-CN"/>
        </w:rPr>
        <w:t xml:space="preserve">支持打印机、扫码枪、身份证读卡器、医保刷卡器、超声设备、检验仪器等医疗外设正常连接使用。​</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并发性能：</w:t>
      </w:r>
      <w:r>
        <w:rPr>
          <w:rFonts w:hint="eastAsia" w:ascii="宋体" w:hAnsi="宋体" w:eastAsia="宋体" w:cs="宋体"/>
          <w:sz w:val="28"/>
          <w:szCs w:val="28"/>
          <w:lang w:val="en-US" w:eastAsia="zh-CN"/>
        </w:rPr>
        <w:t xml:space="preserve">支持所有终端同时在线运行，服务器CPU使用率≤80%，内存使用率≤90%（满负载状态）。​</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（三）数据安全需求​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数据存储：</w:t>
      </w:r>
      <w:r>
        <w:rPr>
          <w:rFonts w:hint="eastAsia" w:ascii="宋体" w:hAnsi="宋体" w:eastAsia="宋体" w:cs="宋体"/>
          <w:sz w:val="28"/>
          <w:szCs w:val="28"/>
          <w:lang w:val="en-US" w:eastAsia="zh-CN"/>
        </w:rPr>
        <w:t xml:space="preserve">所有桌面数据集中存储于服务器，本地终端无数据残留，防止数据泄露。​</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访问控制：</w:t>
      </w:r>
      <w:r>
        <w:rPr>
          <w:rFonts w:hint="eastAsia" w:ascii="宋体" w:hAnsi="宋体" w:eastAsia="宋体" w:cs="宋体"/>
          <w:sz w:val="28"/>
          <w:szCs w:val="28"/>
          <w:lang w:val="en-US" w:eastAsia="zh-CN"/>
        </w:rPr>
        <w:t xml:space="preserve">支持密码、USB-KEY等认证方式，未授权用户无法登录云桌面；支持会话超时自动锁定。​</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数据备份</w:t>
      </w:r>
      <w:r>
        <w:rPr>
          <w:rFonts w:hint="eastAsia" w:ascii="宋体" w:hAnsi="宋体" w:eastAsia="宋体" w:cs="宋体"/>
          <w:sz w:val="28"/>
          <w:szCs w:val="28"/>
          <w:lang w:val="en-US" w:eastAsia="zh-CN"/>
        </w:rPr>
        <w:t xml:space="preserve">：支持定时自动备份桌面数据与配置，备份周期可自定义（如每日备份），支持数据快速恢复。​</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安全防护：</w:t>
      </w:r>
      <w:r>
        <w:rPr>
          <w:rFonts w:hint="eastAsia" w:ascii="宋体" w:hAnsi="宋体" w:eastAsia="宋体" w:cs="宋体"/>
          <w:sz w:val="28"/>
          <w:szCs w:val="28"/>
          <w:lang w:val="en-US" w:eastAsia="zh-CN"/>
        </w:rPr>
        <w:t xml:space="preserve">集成防病毒、防勒索功能，支持终端USB设备管控（如禁止非授权 U 盘拷贝数据），符合《医疗数据安全指南》要求。​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（四）易用性需求​</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登录便捷性：支持域账号统一登录，一次认证即可访问桌面与医疗系统，无需重复输入密码。​</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操作习惯：桌面界面与传统Windows系统一致，医护人员无需额外培训即可上手。​</w:t>
      </w:r>
      <w:r/>
    </w:p>
    <w:p>
      <w:pPr>
        <w:ind w:firstLine="0"/>
        <w:jc w:val="both"/>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故障自愈：桌面出现异常时，支持一键恢复至默认模板状态，不影响核心数据。</w:t>
      </w:r>
      <w:r/>
    </w:p>
    <w:p>
      <w:pPr>
        <w:pStyle w:val="1156"/>
        <w:ind w:left="0" w:firstLine="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二、服务清单</w:t>
      </w:r>
      <w:r/>
    </w:p>
    <w:tbl>
      <w:tblPr>
        <w:tblStyle w:val="1113"/>
        <w:tblW w:w="10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344"/>
        <w:gridCol w:w="5283"/>
        <w:gridCol w:w="1304"/>
        <w:gridCol w:w="1007"/>
      </w:tblGrid>
      <w:tr>
        <w:trPr>
          <w:trHeight w:val="616"/>
        </w:trPr>
        <w:tc>
          <w:tcPr>
            <w:tcW w:w="113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序号</w:t>
            </w:r>
            <w:r/>
          </w:p>
        </w:tc>
        <w:tc>
          <w:tcPr>
            <w:tcW w:w="1344"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产品</w:t>
            </w:r>
            <w:r/>
          </w:p>
        </w:tc>
        <w:tc>
          <w:tcPr>
            <w:tcW w:w="5283"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配置</w:t>
            </w:r>
            <w:r/>
          </w:p>
        </w:tc>
        <w:tc>
          <w:tcPr>
            <w:tcW w:w="1304"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数量（个）</w:t>
            </w:r>
            <w:r/>
          </w:p>
        </w:tc>
        <w:tc>
          <w:tcPr>
            <w:tcW w:w="100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备注</w:t>
            </w:r>
            <w:r/>
          </w:p>
        </w:tc>
      </w:tr>
      <w:tr>
        <w:trPr>
          <w:trHeight w:val="616"/>
        </w:trPr>
        <w:tc>
          <w:tcPr>
            <w:tcW w:w="113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1</w:t>
            </w:r>
            <w:r/>
          </w:p>
        </w:tc>
        <w:tc>
          <w:tcPr>
            <w:tcW w:w="1344"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rPr>
              <w:t xml:space="preserve">云终端</w:t>
            </w:r>
            <w:r/>
          </w:p>
        </w:tc>
        <w:tc>
          <w:tcPr>
            <w:tcW w:w="528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要求桌面云终端机CPU主频≥1.6GHz,内存≥1GB，硬盘容量≥4GB，至少配备1个百兆电口，1个VGA或HDMI接口，6个USB接口</w:t>
            </w:r>
            <w:r>
              <w:rPr>
                <w:rFonts w:hint="eastAsia" w:ascii="宋体" w:hAnsi="宋体" w:eastAsia="宋体" w:cs="宋体"/>
                <w:sz w:val="28"/>
                <w:szCs w:val="28"/>
              </w:rPr>
              <w:br/>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本项目配备的桌面云终端，要求与桌面云软件、桌面云服务器为同一品牌，每台桌面云终端配备相应用户授权软件，提供</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年质保，软件及规则库升级。</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本项目要求管理方式为虚拟机和瘦终端统一管理，降低管理难度</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本项目要求支持分组管理、批量移动、删除、关闭瘦终端</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支持配置定时开关机计划及加电自启动功能，</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支持自定义开机画面、配置自动登录和保存密码。</w:t>
            </w:r>
            <w:r/>
          </w:p>
          <w:p>
            <w:pPr>
              <w:ind w:left="0" w:right="0" w:firstLine="0"/>
              <w:jc w:val="left"/>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本项目要求所投产品使用方式需与PC使用习惯一致，支持显示虚拟机开关机画面、需支持分辨率自适应和更改分辨率、需支持与本地操作系统、AD域等实现单点登录。</w:t>
            </w:r>
            <w:r/>
          </w:p>
        </w:tc>
        <w:tc>
          <w:tcPr>
            <w:tcW w:w="1304"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30</w:t>
            </w:r>
            <w:r/>
          </w:p>
        </w:tc>
        <w:tc>
          <w:tcPr>
            <w:tcW w:w="100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r>
        <w:trPr>
          <w:trHeight w:val="616"/>
        </w:trPr>
        <w:tc>
          <w:tcPr>
            <w:tcW w:w="113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2</w:t>
            </w:r>
            <w:r/>
          </w:p>
        </w:tc>
        <w:tc>
          <w:tcPr>
            <w:tcW w:w="1344"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lang w:val="en-US" w:eastAsia="zh-CN"/>
              </w:rPr>
              <w:t xml:space="preserve">桌面</w:t>
            </w:r>
            <w:r>
              <w:rPr>
                <w:rFonts w:hint="eastAsia" w:ascii="宋体" w:hAnsi="宋体" w:eastAsia="宋体" w:cs="宋体"/>
                <w:color w:val="000000"/>
                <w:sz w:val="28"/>
                <w:szCs w:val="28"/>
              </w:rPr>
              <w:t xml:space="preserve">云服务器</w:t>
            </w:r>
            <w:r/>
          </w:p>
        </w:tc>
        <w:tc>
          <w:tcPr>
            <w:tcW w:w="5283"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要求桌面云服务器CPU核数≥12,CPU主频≥2.4GHz，内存≥192GB，系统盘≥480GB，固态硬盘≥1920GB，机械硬盘≥16TB，至少配备6个千兆电口和2个万兆光口，产品规格≥2U， 配备冗余电源.</w:t>
            </w:r>
            <w:r>
              <w:rPr>
                <w:rFonts w:hint="eastAsia" w:ascii="宋体" w:hAnsi="宋体" w:eastAsia="宋体" w:cs="宋体"/>
                <w:sz w:val="28"/>
                <w:szCs w:val="28"/>
              </w:rPr>
              <w:br/>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本项目至少配备 </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台桌面云服务器，要求桌面云服务器与桌面云终端、桌面云软件为同一品牌，出厂时必须预装各类桌面云软件（含服务器虚拟化、存储虚拟化等）</w:t>
            </w:r>
            <w:r/>
          </w:p>
        </w:tc>
        <w:tc>
          <w:tcPr>
            <w:tcW w:w="1304"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30</w:t>
            </w:r>
            <w:r/>
          </w:p>
        </w:tc>
        <w:tc>
          <w:tcPr>
            <w:tcW w:w="100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r>
        <w:trPr>
          <w:trHeight w:val="616"/>
        </w:trPr>
        <w:tc>
          <w:tcPr>
            <w:tcW w:w="113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3</w:t>
            </w:r>
            <w:r/>
          </w:p>
        </w:tc>
        <w:tc>
          <w:tcPr>
            <w:tcW w:w="1344"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rPr>
              <w:t xml:space="preserve">桌面云软件</w:t>
            </w:r>
            <w:r/>
          </w:p>
        </w:tc>
        <w:tc>
          <w:tcPr>
            <w:tcW w:w="5283"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本项目要求集群中服务器的添加支持热添加，在添加过程中不影响运行中的虚拟机。</w:t>
            </w:r>
            <w:r>
              <w:rPr>
                <w:rFonts w:hint="eastAsia" w:ascii="宋体" w:hAnsi="宋体" w:eastAsia="宋体" w:cs="宋体"/>
                <w:sz w:val="28"/>
                <w:szCs w:val="28"/>
              </w:rPr>
              <w:br/>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本项目要求支持数据冗余副本技术，每份数据同时写入多台服务器，每次数据变化时自动实时同步，确保磁盘或服务器故障，数据不丢失</w:t>
            </w:r>
            <w:r>
              <w:rPr>
                <w:rFonts w:hint="eastAsia" w:ascii="宋体" w:hAnsi="宋体" w:eastAsia="宋体" w:cs="宋体"/>
                <w:sz w:val="28"/>
                <w:szCs w:val="28"/>
              </w:rPr>
              <w:br/>
            </w: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本项目要求支持故障自动切换，硬盘故障，存储则会被重新指向另外一台服务器上可用的数据副本</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本项目要求桌面控制器需支持DHCP功能，无需额外搭建DHCP服务器，可实现终端和虚拟机IP的动态分配。</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本项目要求支持虚拟机快照技术，当数据误删或系统故障时可实现回滚，快照只保存增量数据，节省存储空间。</w:t>
            </w:r>
            <w:r/>
          </w:p>
          <w:p>
            <w:pPr>
              <w:ind w:left="0" w:right="0" w:firstLine="0"/>
              <w:jc w:val="left"/>
              <w:keepLines w:val="0"/>
              <w:keepNext w:val="0"/>
              <w:spacing w:before="0" w:beforeAutospacing="0" w:after="0" w:afterAutospacing="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支持客户端准入检测，可根据用户接入的终端类型、操作系统版本、接入IP和时间、软件安装情况等条件设置接入访问策略，如客户端不满足安全检测要求则不允许接入</w:t>
            </w:r>
            <w:r/>
          </w:p>
          <w:p>
            <w:pPr>
              <w:ind w:left="0" w:right="0" w:firstLine="0"/>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桌面云控软件内置防火墙，包括设置过滤规则、NAT设置、访问监控、防DOS攻击</w:t>
            </w:r>
            <w:r/>
          </w:p>
        </w:tc>
        <w:tc>
          <w:tcPr>
            <w:tcW w:w="1304"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1</w:t>
            </w:r>
            <w:r/>
          </w:p>
        </w:tc>
        <w:tc>
          <w:tcPr>
            <w:tcW w:w="100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r>
        <w:trPr>
          <w:trHeight w:val="616"/>
        </w:trPr>
        <w:tc>
          <w:tcPr>
            <w:tcW w:w="113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4</w:t>
            </w:r>
            <w:r/>
          </w:p>
        </w:tc>
        <w:tc>
          <w:tcPr>
            <w:tcW w:w="1344"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rPr>
              <w:t xml:space="preserve">桌面云控制器</w:t>
            </w:r>
            <w:r/>
          </w:p>
        </w:tc>
        <w:tc>
          <w:tcPr>
            <w:tcW w:w="5283"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1.桌面云用户授权支持发布专有桌面、还原桌面、共享桌面、远程应用至少5种桌面资源，满足不同场景的应用需求</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2.桌面云控制器所有组件完全集成化，即不需要过多的安装调试步骤，后台导入一个镜像就可以完成部署</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3.桌面控制器需支持DHCP功能，无需额外搭建DHCP服务器，可实现终端和虚拟机IP的动态分配</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4.支持用户可自助申请虚拟机配置变更，由管理员审核，管理员可以选择审批通过、修改申请配置后申请通过、驳回操作，审核通过资源自动加到用户虚拟机上。并且用户申请虚拟机配置变更可以直接指定给部门资产管理员审批，既符合规定又提高效率</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5.所投产品支持自助快照恢复，当用户自己误操作导致云桌面卡慢、蓝屏、死机或者中病毒的时候，用户通过导航条按钮，可以自助进行系统盘快照还原操作，支持安卓瘦终端、PC客户端</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6.支持集群模式，在不增加第三方负载均衡的情况下，可实现桌面云控制器宕机切换会话不中断</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7.所投产品支持模板升级，可以统一安装所需要升级的软件/补丁，一键更新到指定的虚拟机，满足标准化场景的软件和补丁更新需求，并不影响非c盘目录下个人数据。并可以设置虚拟机下次重启更新至模版状态，不影响当下使用</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8.支持在无需安装其他软件的情况下，管理员可以远程协助维护虚拟机，即管理员在桌面云控制端中可以直接向需要协助的用户发起远程协助</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9.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w:t>
            </w:r>
            <w:r/>
          </w:p>
          <w:p>
            <w:pPr>
              <w:ind w:left="0" w:right="0" w:firstLine="0"/>
              <w:jc w:val="left"/>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rPr>
              <w:t xml:space="preserve">10.提供</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rPr>
              <w:t xml:space="preserve">个云桌面授权。</w:t>
            </w:r>
            <w:r/>
          </w:p>
        </w:tc>
        <w:tc>
          <w:tcPr>
            <w:tcW w:w="1304"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1</w:t>
            </w:r>
            <w:r/>
          </w:p>
        </w:tc>
        <w:tc>
          <w:tcPr>
            <w:tcW w:w="100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r>
        <w:trPr>
          <w:trHeight w:val="616"/>
        </w:trPr>
        <w:tc>
          <w:tcPr>
            <w:tcW w:w="1139"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5</w:t>
            </w:r>
            <w:r/>
          </w:p>
        </w:tc>
        <w:tc>
          <w:tcPr>
            <w:tcW w:w="1344"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外设服务</w:t>
            </w:r>
            <w:r/>
          </w:p>
        </w:tc>
        <w:tc>
          <w:tcPr>
            <w:tcW w:w="5283"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color w:val="000000"/>
                <w:sz w:val="28"/>
                <w:szCs w:val="28"/>
                <w:lang w:val="en-US" w:eastAsia="zh-CN"/>
              </w:rPr>
              <w:t xml:space="preserve">提供满足办公的外设服务，包括不限制于显示器键盘鼠标等，显示器不低于21.5寸，支持1920*1080分辨率</w:t>
            </w:r>
            <w:r/>
          </w:p>
        </w:tc>
        <w:tc>
          <w:tcPr>
            <w:tcW w:w="1304"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t xml:space="preserve">30</w:t>
            </w:r>
            <w:r/>
          </w:p>
        </w:tc>
        <w:tc>
          <w:tcPr>
            <w:tcW w:w="1007" w:type="dxa"/>
            <w:vAlign w:val="center"/>
            <w:textDirection w:val="lrTb"/>
            <w:noWrap w:val="false"/>
          </w:tcPr>
          <w:p>
            <w:pPr>
              <w:numPr>
                <w:ilvl w:val="0"/>
                <w:numId w:val="0"/>
              </w:numPr>
              <w:ind w:left="0" w:right="0"/>
              <w:jc w:val="center"/>
              <w:keepLines w:val="0"/>
              <w:keepNext w:val="0"/>
              <w:spacing w:before="0" w:beforeAutospacing="0" w:after="0" w:afterAutospacing="0"/>
              <w:rPr>
                <w:rFonts w:hint="eastAsia" w:ascii="宋体" w:hAnsi="宋体" w:eastAsia="宋体" w:cs="宋体"/>
                <w:b/>
                <w:bCs/>
                <w:sz w:val="28"/>
                <w:szCs w:val="28"/>
                <w:vertAlign w:val="baseline"/>
                <w:lang w:val="en-US" w:eastAsia="zh-CN"/>
              </w:rPr>
              <w:suppressLineNumbers w:val="0"/>
            </w:pPr>
            <w:r>
              <w:rPr>
                <w:rFonts w:hint="eastAsia" w:ascii="宋体" w:hAnsi="宋体" w:eastAsia="宋体" w:cs="宋体"/>
                <w:b/>
                <w:bCs/>
                <w:sz w:val="28"/>
                <w:szCs w:val="28"/>
                <w:vertAlign w:val="baseline"/>
                <w:lang w:val="en-US" w:eastAsia="zh-CN"/>
              </w:rPr>
            </w:r>
            <w:r/>
          </w:p>
        </w:tc>
      </w:tr>
    </w:tbl>
    <w:p>
      <w:pPr>
        <w:ind w:left="0" w:firstLine="0"/>
        <w:jc w:val="both"/>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三、项目其他要求</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（一）售后服务</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提供用户名单，提供医护操作人员的操作培训，维修工程师免费一周的维修培训，提供维修资料。零配件应保证1年以上的供应期，提供主要零配件的优惠价，并提供保修期后的修理人工费及年保费用，标明发生故障后的响应时间及到达时间，并允诺做不到的赔偿条件。</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（二）其他要求</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1.所提供货物质量必须符合国家相关标准，必须满足本次租赁的要求，若所供货物经产品质量检测机构检测认定质量不合格，造成的损失和后果由该供应商负全责。</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供应商必须为交付的所有货物按照国家的相关法规提供免费保修。在产品保修期内，一旦发生质量问题，供应商保证在接到通知工作日的24小时内到现场进行维修、更换或退货，费用由供应商负责。如供应商在接到通知工作日的24小时内没有答复或处理问题，则视为供应商承认质量问题并承担由此而发生的一切费用。保修期间产品的一切质量问题，更换部件及产品本身质量原因造成的直接经济损失应全部由供应商自行负责。</w:t>
      </w:r>
      <w:r/>
    </w:p>
    <w:p>
      <w:pPr>
        <w:ind w:left="0" w:firstLine="56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94"/>
        <w:rPr>
          <w:rFonts w:hint="eastAsia" w:ascii="黑体" w:hAnsi="黑体" w:eastAsia="黑体" w:cs="黑体"/>
          <w:b/>
          <w:bCs/>
          <w:sz w:val="28"/>
          <w:szCs w:val="28"/>
        </w:rPr>
      </w:pPr>
      <w:r>
        <w:rPr>
          <w:rFonts w:hint="eastAsia" w:ascii="宋体" w:hAnsi="宋体" w:eastAsia="宋体" w:cs="宋体"/>
          <w:sz w:val="28"/>
          <w:szCs w:val="28"/>
        </w:rPr>
        <w:t xml:space="preserve">★</w:t>
      </w:r>
      <w:r>
        <w:rPr>
          <w:rFonts w:hint="eastAsia" w:ascii="黑体" w:hAnsi="黑体" w:cs="黑体"/>
          <w:b/>
          <w:bCs/>
          <w:sz w:val="28"/>
          <w:szCs w:val="28"/>
          <w:lang w:val="en-US" w:eastAsia="zh-CN"/>
        </w:rPr>
        <w:t xml:space="preserve">第六节  </w:t>
      </w:r>
      <w:r>
        <w:rPr>
          <w:rFonts w:hint="eastAsia" w:ascii="黑体" w:hAnsi="黑体" w:eastAsia="黑体" w:cs="黑体"/>
          <w:b/>
          <w:bCs/>
          <w:sz w:val="28"/>
          <w:szCs w:val="28"/>
        </w:rPr>
        <w:t xml:space="preserve">商务要求</w:t>
      </w:r>
      <w:r/>
    </w:p>
    <w:p>
      <w:pPr>
        <w:numPr>
          <w:ilvl w:val="1"/>
          <w:numId w:val="4"/>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pStyle w:val="1099"/>
        <w:numPr>
          <w:ilvl w:val="0"/>
          <w:numId w:val="0"/>
        </w:numPr>
        <w:ind w:firstLine="1124"/>
        <w:pageBreakBefore w:val="0"/>
        <w:spacing w:line="360" w:lineRule="auto"/>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none"/>
          <w:lang w:val="en-US" w:eastAsia="zh-CN"/>
        </w:rPr>
        <w:t xml:space="preserve">自合同签订之日起1年。</w:t>
      </w:r>
      <w:r/>
    </w:p>
    <w:p>
      <w:pPr>
        <w:pStyle w:val="1100"/>
        <w:ind w:firstLine="1124"/>
        <w:pageBreakBefore w:val="0"/>
        <w:spacing w:line="360" w:lineRule="auto"/>
        <w:rPr>
          <w:rFonts w:hint="eastAsia" w:ascii="宋体" w:hAnsi="宋体" w:eastAsia="宋体" w:cs="宋体"/>
          <w:b/>
          <w:bCs/>
          <w:color w:val="1d41d5"/>
          <w:spacing w:val="8"/>
          <w:sz w:val="28"/>
          <w:szCs w:val="28"/>
          <w:u w:val="none"/>
          <w:lang w:val="en-US" w:eastAsia="zh-CN" w:bidi="ar-SA"/>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none"/>
          <w:lang w:val="en-US" w:eastAsia="zh-CN" w:bidi="ar-SA"/>
        </w:rPr>
        <w:t xml:space="preserve">常州市金坛区第三人民医院，合同生效后按约定时间及地点提供服务。</w:t>
      </w:r>
      <w:r/>
    </w:p>
    <w:p>
      <w:pPr>
        <w:pStyle w:val="1154"/>
        <w:numPr>
          <w:ilvl w:val="1"/>
          <w:numId w:val="4"/>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0"/>
        <w:keepLines w:val="0"/>
        <w:keepNext w:val="0"/>
        <w:pageBreakBefore w:val="0"/>
        <w:spacing w:line="360" w:lineRule="auto"/>
        <w:widowControl w:val="off"/>
        <w:rPr>
          <w:rFonts w:hint="eastAsia" w:ascii="宋体" w:hAnsi="宋体" w:cs="宋体"/>
          <w:b/>
          <w:color w:val="ff0000"/>
          <w:sz w:val="28"/>
          <w:szCs w:val="28"/>
          <w:lang w:val="en-US" w:eastAsia="zh-CN"/>
        </w:rPr>
      </w:pPr>
      <w:r>
        <w:rPr>
          <w:rFonts w:hint="eastAsia" w:ascii="宋体" w:hAnsi="宋体" w:cs="宋体"/>
          <w:color w:val="ff0000"/>
          <w:sz w:val="28"/>
          <w:szCs w:val="28"/>
          <w:lang w:val="en-US" w:eastAsia="zh-CN"/>
        </w:rPr>
        <w:t xml:space="preserve">    安装、调试，培训合格正常运行后付90%，余款在质保期满1年后1周内付清。</w:t>
      </w:r>
      <w:r/>
    </w:p>
    <w:p>
      <w:pPr>
        <w:ind w:firstLine="0"/>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    4.履约验收</w:t>
      </w:r>
      <w:r/>
    </w:p>
    <w:p>
      <w:pPr>
        <w:ind w:left="0" w:firstLine="560"/>
        <w:keepLines w:val="0"/>
        <w:keepNext w:val="0"/>
        <w:pageBreakBefore w:val="0"/>
        <w:spacing w:line="360" w:lineRule="auto"/>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（1）</w:t>
      </w:r>
      <w:r>
        <w:rPr>
          <w:rFonts w:hint="eastAsia" w:ascii="宋体" w:hAnsi="宋体" w:cs="宋体"/>
          <w:b w:val="0"/>
          <w:bCs/>
          <w:sz w:val="28"/>
          <w:szCs w:val="28"/>
          <w:lang w:val="en-US" w:eastAsia="zh-CN"/>
        </w:rPr>
        <w:t xml:space="preserve">投标</w:t>
      </w:r>
      <w:r>
        <w:rPr>
          <w:rFonts w:hint="eastAsia" w:ascii="宋体" w:hAnsi="宋体" w:eastAsia="宋体" w:cs="宋体"/>
          <w:b w:val="0"/>
          <w:bCs/>
          <w:sz w:val="28"/>
          <w:szCs w:val="28"/>
          <w:lang w:val="en-US" w:eastAsia="zh-CN"/>
        </w:rPr>
        <w:t xml:space="preserve">人提供的服务应符合国家、地方及相关政府管理部门和行业与本项目有关的各项服务标准、规范、规章要求，并满足采购人实际需求，标准、规范等不一致的，以要求高的为准。</w:t>
      </w:r>
      <w:r/>
    </w:p>
    <w:p>
      <w:pPr>
        <w:ind w:left="0" w:firstLine="560"/>
        <w:keepLines w:val="0"/>
        <w:keepNext w:val="0"/>
        <w:pageBreakBefore w:val="0"/>
        <w:spacing w:line="360" w:lineRule="auto"/>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（2）本项目验收将由采购人参照《江苏省政府采购履约验收管理办法》和</w:t>
      </w:r>
      <w:r>
        <w:rPr>
          <w:rFonts w:hint="eastAsia" w:ascii="宋体" w:hAnsi="宋体" w:cs="宋体"/>
          <w:b w:val="0"/>
          <w:bCs/>
          <w:sz w:val="28"/>
          <w:szCs w:val="28"/>
          <w:lang w:val="en-US" w:eastAsia="zh-CN"/>
        </w:rPr>
        <w:t xml:space="preserve">《</w:t>
      </w:r>
      <w:r>
        <w:rPr>
          <w:rFonts w:hint="eastAsia" w:ascii="宋体" w:hAnsi="宋体" w:eastAsia="宋体" w:cs="宋体"/>
          <w:b w:val="0"/>
          <w:bCs/>
          <w:sz w:val="28"/>
          <w:szCs w:val="28"/>
          <w:lang w:val="en-US" w:eastAsia="zh-CN"/>
        </w:rPr>
        <w:t xml:space="preserve">考核细则表</w:t>
      </w:r>
      <w:r>
        <w:rPr>
          <w:rFonts w:hint="eastAsia" w:ascii="宋体" w:hAnsi="宋体" w:cs="宋体"/>
          <w:b w:val="0"/>
          <w:bCs/>
          <w:sz w:val="28"/>
          <w:szCs w:val="28"/>
          <w:lang w:val="en-US" w:eastAsia="zh-CN"/>
        </w:rPr>
        <w:t xml:space="preserve">》</w:t>
      </w:r>
      <w:r>
        <w:rPr>
          <w:rFonts w:hint="eastAsia" w:ascii="宋体" w:hAnsi="宋体" w:eastAsia="宋体" w:cs="宋体"/>
          <w:b w:val="0"/>
          <w:bCs/>
          <w:sz w:val="28"/>
          <w:szCs w:val="28"/>
          <w:lang w:val="en-US" w:eastAsia="zh-CN"/>
        </w:rPr>
        <w:t xml:space="preserve">组织进行。</w:t>
      </w:r>
      <w:r/>
    </w:p>
    <w:p>
      <w:pPr>
        <w:ind w:firstLine="0"/>
        <w:jc w:val="center"/>
        <w:spacing w:line="240" w:lineRule="auto"/>
        <w:widowControl/>
        <w:rPr>
          <w:rFonts w:hint="eastAsia" w:ascii="宋体" w:hAnsi="宋体" w:eastAsia="宋体" w:cs="宋体"/>
          <w:b/>
          <w:sz w:val="28"/>
          <w:szCs w:val="28"/>
          <w:lang w:eastAsia="zh-CN"/>
        </w:rPr>
      </w:pPr>
      <w:r>
        <w:rPr>
          <w:rFonts w:hint="eastAsia" w:ascii="宋体" w:hAnsi="宋体" w:eastAsia="宋体" w:cs="宋体"/>
          <w:b/>
          <w:sz w:val="28"/>
          <w:szCs w:val="28"/>
        </w:rPr>
        <w:t xml:space="preserve">考核</w:t>
      </w:r>
      <w:r>
        <w:rPr>
          <w:rFonts w:hint="eastAsia" w:ascii="宋体" w:hAnsi="宋体" w:eastAsia="宋体" w:cs="宋体"/>
          <w:b/>
          <w:sz w:val="28"/>
          <w:szCs w:val="28"/>
          <w:lang w:val="en-US" w:eastAsia="zh-CN"/>
        </w:rPr>
        <w:t xml:space="preserve">细则</w:t>
      </w:r>
      <w:r>
        <w:rPr>
          <w:rFonts w:hint="eastAsia" w:ascii="宋体" w:hAnsi="宋体" w:eastAsia="宋体" w:cs="宋体"/>
          <w:b/>
          <w:sz w:val="28"/>
          <w:szCs w:val="28"/>
        </w:rPr>
        <w:t xml:space="preserve">表</w:t>
      </w: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01包至0</w:t>
      </w:r>
      <w:r>
        <w:rPr>
          <w:rFonts w:hint="eastAsia" w:ascii="宋体" w:hAnsi="宋体" w:cs="宋体"/>
          <w:b/>
          <w:sz w:val="28"/>
          <w:szCs w:val="28"/>
          <w:lang w:val="en-US" w:eastAsia="zh-CN"/>
        </w:rPr>
        <w:t xml:space="preserve">4</w:t>
      </w:r>
      <w:r>
        <w:rPr>
          <w:rFonts w:hint="eastAsia" w:ascii="宋体" w:hAnsi="宋体" w:eastAsia="宋体" w:cs="宋体"/>
          <w:b/>
          <w:sz w:val="28"/>
          <w:szCs w:val="28"/>
          <w:lang w:val="en-US" w:eastAsia="zh-CN"/>
        </w:rPr>
        <w:t xml:space="preserve">包通用</w:t>
      </w:r>
      <w:r>
        <w:rPr>
          <w:rFonts w:hint="eastAsia" w:ascii="宋体" w:hAnsi="宋体" w:eastAsia="宋体" w:cs="宋体"/>
          <w:b/>
          <w:sz w:val="28"/>
          <w:szCs w:val="28"/>
          <w:lang w:eastAsia="zh-CN"/>
        </w:rPr>
        <w:t xml:space="preserve">）</w:t>
      </w:r>
      <w:r/>
    </w:p>
    <w:tbl>
      <w:tblPr>
        <w:tblStyle w:val="1157"/>
        <w:tblW w:w="94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1"/>
        <w:gridCol w:w="1178"/>
        <w:gridCol w:w="1134"/>
        <w:gridCol w:w="4103"/>
        <w:gridCol w:w="1185"/>
        <w:gridCol w:w="1154"/>
      </w:tblGrid>
      <w:tr>
        <w:trPr>
          <w:jc w:val="center"/>
          <w:trHeight w:val="547"/>
        </w:trPr>
        <w:tc>
          <w:tcPr>
            <w:gridSpan w:val="2"/>
            <w:tcW w:w="1909" w:type="dxa"/>
            <w:vAlign w:val="center"/>
            <w:textDirection w:val="lrTb"/>
            <w:noWrap w:val="false"/>
          </w:tcPr>
          <w:p>
            <w:pPr>
              <w:contextualSpacing w:val="0"/>
              <w:ind w:left="0" w:firstLine="0"/>
              <w:jc w:val="both"/>
              <w:spacing w:before="196" w:line="221"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3"/>
                <w:sz w:val="28"/>
                <w:szCs w:val="28"/>
                <w:lang w:val="en-US" w:eastAsia="zh-CN" w:bidi="ar-SA"/>
              </w:rPr>
              <w:t xml:space="preserve">项目</w:t>
            </w:r>
            <w:r>
              <w:rPr>
                <w:rFonts w:hint="eastAsia" w:ascii="宋体" w:hAnsi="宋体" w:eastAsia="宋体" w:cs="宋体"/>
                <w:color w:val="000000"/>
                <w:spacing w:val="-3"/>
                <w:sz w:val="28"/>
                <w:szCs w:val="28"/>
                <w:lang w:val="en-US" w:eastAsia="en-US" w:bidi="ar-SA"/>
              </w:rPr>
              <w:t xml:space="preserve">名称</w:t>
            </w:r>
            <w:r/>
          </w:p>
        </w:tc>
        <w:tc>
          <w:tcPr>
            <w:gridSpan w:val="4"/>
            <w:tcW w:w="7576"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629"/>
        </w:trPr>
        <w:tc>
          <w:tcPr>
            <w:gridSpan w:val="2"/>
            <w:tcW w:w="1909" w:type="dxa"/>
            <w:vAlign w:val="center"/>
            <w:textDirection w:val="lrTb"/>
            <w:noWrap w:val="false"/>
          </w:tcPr>
          <w:p>
            <w:pPr>
              <w:contextualSpacing w:val="0"/>
              <w:ind w:left="0" w:firstLine="0"/>
              <w:jc w:val="both"/>
              <w:spacing w:before="201"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3"/>
                <w:sz w:val="28"/>
                <w:szCs w:val="28"/>
                <w:lang w:val="en-US" w:eastAsia="en-US" w:bidi="ar-SA"/>
              </w:rPr>
              <w:t xml:space="preserve">建设单位</w:t>
            </w:r>
            <w:r/>
          </w:p>
        </w:tc>
        <w:tc>
          <w:tcPr>
            <w:gridSpan w:val="4"/>
            <w:tcW w:w="7576"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629"/>
        </w:trPr>
        <w:tc>
          <w:tcPr>
            <w:gridSpan w:val="2"/>
            <w:tcW w:w="1909" w:type="dxa"/>
            <w:vAlign w:val="center"/>
            <w:textDirection w:val="lrTb"/>
            <w:noWrap w:val="false"/>
          </w:tcPr>
          <w:p>
            <w:pPr>
              <w:contextualSpacing w:val="0"/>
              <w:ind w:left="0" w:firstLine="0"/>
              <w:jc w:val="both"/>
              <w:spacing w:before="201"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2"/>
                <w:sz w:val="28"/>
                <w:szCs w:val="28"/>
                <w:lang w:val="en-US" w:eastAsia="en-US" w:bidi="ar-SA"/>
              </w:rPr>
              <w:t xml:space="preserve">服务单位</w:t>
            </w:r>
            <w:r/>
          </w:p>
        </w:tc>
        <w:tc>
          <w:tcPr>
            <w:gridSpan w:val="4"/>
            <w:tcW w:w="7576"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576"/>
        </w:trPr>
        <w:tc>
          <w:tcPr>
            <w:tcW w:w="731" w:type="dxa"/>
            <w:vAlign w:val="center"/>
            <w:textDirection w:val="lrTb"/>
            <w:noWrap w:val="false"/>
          </w:tcPr>
          <w:p>
            <w:pPr>
              <w:contextualSpacing w:val="0"/>
              <w:ind w:left="0" w:firstLine="0"/>
              <w:jc w:val="center"/>
              <w:spacing w:before="173" w:line="22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3"/>
                <w:sz w:val="28"/>
                <w:szCs w:val="28"/>
                <w:lang w:val="en-US" w:eastAsia="en-US" w:bidi="ar-SA"/>
              </w:rPr>
              <w:t xml:space="preserve">序号</w:t>
            </w:r>
            <w:r/>
          </w:p>
        </w:tc>
        <w:tc>
          <w:tcPr>
            <w:tcW w:w="1178" w:type="dxa"/>
            <w:vAlign w:val="center"/>
            <w:textDirection w:val="lrTb"/>
            <w:noWrap w:val="false"/>
          </w:tcPr>
          <w:p>
            <w:pPr>
              <w:contextualSpacing w:val="0"/>
              <w:ind w:left="0" w:firstLine="0"/>
              <w:jc w:val="center"/>
              <w:spacing w:before="174" w:line="220" w:lineRule="auto"/>
              <w:widowControl/>
              <w:rPr>
                <w:rFonts w:hint="eastAsia" w:ascii="宋体" w:hAnsi="宋体" w:eastAsia="宋体" w:cs="宋体"/>
                <w:color w:val="000000"/>
                <w:spacing w:val="-2"/>
                <w:sz w:val="28"/>
                <w:szCs w:val="28"/>
                <w:lang w:val="en-US" w:eastAsia="en-US" w:bidi="ar-SA"/>
              </w:rPr>
              <w:suppressLineNumbers w:val="0"/>
            </w:pPr>
            <w:r>
              <w:rPr>
                <w:rFonts w:hint="eastAsia" w:ascii="宋体" w:hAnsi="宋体" w:eastAsia="宋体" w:cs="宋体"/>
                <w:color w:val="000000"/>
                <w:spacing w:val="-2"/>
                <w:sz w:val="28"/>
                <w:szCs w:val="28"/>
                <w:lang w:val="en-US" w:eastAsia="en-US" w:bidi="ar-SA"/>
              </w:rPr>
              <w:t xml:space="preserve">考核</w:t>
            </w:r>
            <w:r/>
          </w:p>
          <w:p>
            <w:pPr>
              <w:contextualSpacing w:val="0"/>
              <w:ind w:left="0" w:firstLine="0"/>
              <w:jc w:val="center"/>
              <w:spacing w:before="174"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2"/>
                <w:sz w:val="28"/>
                <w:szCs w:val="28"/>
                <w:lang w:val="en-US" w:eastAsia="en-US" w:bidi="ar-SA"/>
              </w:rPr>
              <w:t xml:space="preserve">项目</w:t>
            </w:r>
            <w:r/>
          </w:p>
        </w:tc>
        <w:tc>
          <w:tcPr>
            <w:tcW w:w="1134" w:type="dxa"/>
            <w:vAlign w:val="center"/>
            <w:textDirection w:val="lrTb"/>
            <w:noWrap w:val="false"/>
          </w:tcPr>
          <w:p>
            <w:pPr>
              <w:contextualSpacing w:val="0"/>
              <w:ind w:left="0" w:firstLine="0"/>
              <w:jc w:val="center"/>
              <w:spacing w:before="174"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5"/>
                <w:sz w:val="28"/>
                <w:szCs w:val="28"/>
                <w:lang w:val="en-US" w:eastAsia="en-US" w:bidi="ar-SA"/>
              </w:rPr>
              <w:t xml:space="preserve">分值</w:t>
            </w:r>
            <w:r/>
          </w:p>
        </w:tc>
        <w:tc>
          <w:tcPr>
            <w:tcW w:w="4103" w:type="dxa"/>
            <w:vAlign w:val="center"/>
            <w:textDirection w:val="lrTb"/>
            <w:noWrap w:val="false"/>
          </w:tcPr>
          <w:p>
            <w:pPr>
              <w:contextualSpacing w:val="0"/>
              <w:ind w:left="0" w:firstLine="828"/>
              <w:jc w:val="center"/>
              <w:spacing w:before="174" w:line="221"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2"/>
                <w:sz w:val="28"/>
                <w:szCs w:val="28"/>
                <w:lang w:val="en-US" w:eastAsia="en-US" w:bidi="ar-SA"/>
              </w:rPr>
              <w:t xml:space="preserve">评分标准</w:t>
            </w:r>
            <w:r/>
          </w:p>
        </w:tc>
        <w:tc>
          <w:tcPr>
            <w:tcW w:w="1185" w:type="dxa"/>
            <w:vAlign w:val="center"/>
            <w:textDirection w:val="lrTb"/>
            <w:noWrap w:val="false"/>
          </w:tcPr>
          <w:p>
            <w:pPr>
              <w:contextualSpacing w:val="0"/>
              <w:ind w:left="0" w:firstLine="0"/>
              <w:jc w:val="center"/>
              <w:spacing w:before="32"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3"/>
                <w:sz w:val="28"/>
                <w:szCs w:val="28"/>
                <w:lang w:val="en-US" w:eastAsia="en-US" w:bidi="ar-SA"/>
              </w:rPr>
              <w:t xml:space="preserve">考核得</w:t>
            </w:r>
            <w:r>
              <w:rPr>
                <w:rFonts w:hint="eastAsia" w:ascii="宋体" w:hAnsi="宋体" w:eastAsia="宋体" w:cs="宋体"/>
                <w:color w:val="000000"/>
                <w:sz w:val="28"/>
                <w:szCs w:val="28"/>
                <w:lang w:val="en-US" w:eastAsia="en-US" w:bidi="ar-SA"/>
              </w:rPr>
              <w:t xml:space="preserve">分</w:t>
            </w:r>
            <w:r/>
          </w:p>
        </w:tc>
        <w:tc>
          <w:tcPr>
            <w:tcW w:w="1154" w:type="dxa"/>
            <w:vAlign w:val="center"/>
            <w:textDirection w:val="lrTb"/>
            <w:noWrap w:val="false"/>
          </w:tcPr>
          <w:p>
            <w:pPr>
              <w:contextualSpacing w:val="0"/>
              <w:ind w:left="0" w:firstLine="0"/>
              <w:jc w:val="center"/>
              <w:spacing w:before="173" w:line="22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5"/>
                <w:sz w:val="28"/>
                <w:szCs w:val="28"/>
                <w:lang w:val="en-US" w:eastAsia="en-US" w:bidi="ar-SA"/>
              </w:rPr>
              <w:t xml:space="preserve">备注</w:t>
            </w:r>
            <w:r/>
          </w:p>
        </w:tc>
      </w:tr>
      <w:tr>
        <w:trPr>
          <w:jc w:val="center"/>
          <w:trHeight w:val="1300"/>
        </w:trPr>
        <w:tc>
          <w:tcPr>
            <w:tcW w:w="731" w:type="dxa"/>
            <w:vAlign w:val="center"/>
            <w:textDirection w:val="lrTb"/>
            <w:noWrap w:val="false"/>
          </w:tcPr>
          <w:p>
            <w:pPr>
              <w:contextualSpacing w:val="0"/>
              <w:ind w:left="0" w:firstLine="280"/>
              <w:jc w:val="both"/>
              <w:spacing w:before="71"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en-US" w:bidi="ar-SA"/>
              </w:rPr>
              <w:t xml:space="preserve">1</w:t>
            </w:r>
            <w:r/>
          </w:p>
        </w:tc>
        <w:tc>
          <w:tcPr>
            <w:tcW w:w="1178" w:type="dxa"/>
            <w:vAlign w:val="center"/>
            <w:textDirection w:val="lrTb"/>
            <w:noWrap w:val="false"/>
          </w:tcPr>
          <w:p>
            <w:pPr>
              <w:contextualSpacing w:val="0"/>
              <w:ind w:left="0" w:firstLine="0"/>
              <w:jc w:val="center"/>
              <w:spacing w:before="72"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SA"/>
              </w:rPr>
              <w:t xml:space="preserve">技术支持服务</w:t>
            </w:r>
            <w:r/>
          </w:p>
        </w:tc>
        <w:tc>
          <w:tcPr>
            <w:tcW w:w="1134" w:type="dxa"/>
            <w:vAlign w:val="center"/>
            <w:textDirection w:val="lrTb"/>
            <w:noWrap w:val="false"/>
          </w:tcPr>
          <w:p>
            <w:pPr>
              <w:contextualSpacing w:val="0"/>
              <w:ind w:left="0" w:firstLine="280"/>
              <w:jc w:val="both"/>
              <w:spacing w:before="71"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SA"/>
              </w:rPr>
              <w:t xml:space="preserve">30</w:t>
            </w:r>
            <w:r/>
          </w:p>
        </w:tc>
        <w:tc>
          <w:tcPr>
            <w:tcW w:w="4103" w:type="dxa"/>
            <w:vAlign w:val="center"/>
            <w:textDirection w:val="lrTb"/>
            <w:noWrap w:val="false"/>
          </w:tcPr>
          <w:p>
            <w:pPr>
              <w:contextualSpacing w:val="0"/>
              <w:ind w:left="0" w:right="131" w:firstLine="0"/>
              <w:jc w:val="both"/>
              <w:spacing w:before="135" w:line="25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SA"/>
              </w:rPr>
              <w:t xml:space="preserve">服务期限内，免费提供7*24小时全时空、全方位应急响应和技术服务支持，半小时以内应急响应，2小时内到现场，故障解决要求（当天以内）。若未完成，每次扣除2分，</w:t>
            </w:r>
            <w:r>
              <w:rPr>
                <w:rFonts w:hint="eastAsia" w:ascii="宋体" w:hAnsi="宋体" w:eastAsia="宋体" w:cs="宋体"/>
                <w:color w:val="000000"/>
                <w:spacing w:val="6"/>
                <w:sz w:val="28"/>
                <w:szCs w:val="28"/>
                <w:lang w:val="en-US" w:eastAsia="zh-CN" w:bidi="ar-SA"/>
              </w:rPr>
              <w:t xml:space="preserve">扣完为止。</w:t>
            </w:r>
            <w:r/>
          </w:p>
        </w:tc>
        <w:tc>
          <w:tcPr>
            <w:tcW w:w="1185"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54"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1094"/>
        </w:trPr>
        <w:tc>
          <w:tcPr>
            <w:tcW w:w="731" w:type="dxa"/>
            <w:vAlign w:val="center"/>
            <w:textDirection w:val="lrTb"/>
            <w:noWrap w:val="false"/>
          </w:tcPr>
          <w:p>
            <w:pPr>
              <w:contextualSpacing w:val="0"/>
              <w:ind w:left="0" w:firstLine="280"/>
              <w:jc w:val="both"/>
              <w:spacing w:before="71"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en-US" w:bidi="ar-SA"/>
              </w:rPr>
              <w:t xml:space="preserve">2</w:t>
            </w:r>
            <w:r/>
          </w:p>
        </w:tc>
        <w:tc>
          <w:tcPr>
            <w:tcW w:w="1178" w:type="dxa"/>
            <w:vAlign w:val="center"/>
            <w:textDirection w:val="lrTb"/>
            <w:noWrap w:val="false"/>
          </w:tcPr>
          <w:p>
            <w:pPr>
              <w:contextualSpacing w:val="0"/>
              <w:ind w:left="0" w:firstLine="0"/>
              <w:jc w:val="center"/>
              <w:spacing w:before="292"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2"/>
                <w:sz w:val="28"/>
                <w:szCs w:val="28"/>
                <w:lang w:val="en-US" w:eastAsia="en-US" w:bidi="ar-SA"/>
              </w:rPr>
              <w:t xml:space="preserve">安全巡检服务</w:t>
            </w:r>
            <w:r/>
          </w:p>
        </w:tc>
        <w:tc>
          <w:tcPr>
            <w:tcW w:w="1134" w:type="dxa"/>
            <w:vAlign w:val="center"/>
            <w:textDirection w:val="lrTb"/>
            <w:noWrap w:val="false"/>
          </w:tcPr>
          <w:p>
            <w:pPr>
              <w:contextualSpacing w:val="0"/>
              <w:ind w:left="0" w:firstLine="280"/>
              <w:jc w:val="both"/>
              <w:spacing w:before="71"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SA"/>
              </w:rPr>
              <w:t xml:space="preserve">40</w:t>
            </w:r>
            <w:r/>
          </w:p>
        </w:tc>
        <w:tc>
          <w:tcPr>
            <w:tcW w:w="4103" w:type="dxa"/>
            <w:vAlign w:val="center"/>
            <w:textDirection w:val="lrTb"/>
            <w:noWrap w:val="false"/>
          </w:tcPr>
          <w:p>
            <w:pPr>
              <w:contextualSpacing w:val="0"/>
              <w:ind w:left="0" w:right="131" w:firstLine="0"/>
              <w:jc w:val="both"/>
              <w:spacing w:before="35"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9"/>
                <w:sz w:val="28"/>
                <w:szCs w:val="28"/>
                <w:lang w:val="en-US" w:eastAsia="zh-CN" w:bidi="ar-SA"/>
              </w:rPr>
              <w:t xml:space="preserve">每季度一次，每年提供安全巡检报告（装订</w:t>
            </w:r>
            <w:r>
              <w:rPr>
                <w:rFonts w:hint="eastAsia" w:ascii="宋体" w:hAnsi="宋体" w:eastAsia="宋体" w:cs="宋体"/>
                <w:color w:val="000000"/>
                <w:spacing w:val="7"/>
                <w:sz w:val="28"/>
                <w:szCs w:val="28"/>
                <w:lang w:val="en-US" w:eastAsia="zh-CN" w:bidi="ar-SA"/>
              </w:rPr>
              <w:t xml:space="preserve">成册</w:t>
            </w:r>
            <w:r>
              <w:rPr>
                <w:rFonts w:hint="eastAsia" w:ascii="宋体" w:hAnsi="宋体" w:eastAsia="宋体" w:cs="宋体"/>
                <w:color w:val="000000"/>
                <w:spacing w:val="18"/>
                <w:sz w:val="28"/>
                <w:szCs w:val="28"/>
                <w:lang w:val="en-US" w:eastAsia="zh-CN" w:bidi="ar-SA"/>
              </w:rPr>
              <w:t xml:space="preserve">），</w:t>
            </w:r>
            <w:r>
              <w:rPr>
                <w:rFonts w:hint="eastAsia" w:ascii="宋体" w:hAnsi="宋体" w:eastAsia="宋体" w:cs="宋体"/>
                <w:color w:val="000000"/>
                <w:spacing w:val="7"/>
                <w:sz w:val="28"/>
                <w:szCs w:val="28"/>
                <w:lang w:val="en-US" w:eastAsia="zh-CN" w:bidi="ar-SA"/>
              </w:rPr>
              <w:t xml:space="preserve">未按甲方要求提供</w:t>
            </w:r>
            <w:r>
              <w:rPr>
                <w:rFonts w:hint="eastAsia" w:ascii="宋体" w:hAnsi="宋体" w:eastAsia="宋体" w:cs="宋体"/>
                <w:color w:val="000000"/>
                <w:spacing w:val="6"/>
                <w:sz w:val="28"/>
                <w:szCs w:val="28"/>
                <w:lang w:val="en-US" w:eastAsia="zh-CN" w:bidi="ar-SA"/>
              </w:rPr>
              <w:t xml:space="preserve">巡检报告的，每次扣</w:t>
            </w:r>
            <w:r>
              <w:rPr>
                <w:rFonts w:hint="eastAsia" w:ascii="宋体" w:hAnsi="宋体" w:eastAsia="宋体" w:cs="宋体"/>
                <w:color w:val="000000"/>
                <w:spacing w:val="-37"/>
                <w:sz w:val="28"/>
                <w:szCs w:val="28"/>
                <w:lang w:val="en-US" w:eastAsia="zh-CN" w:bidi="ar-SA"/>
              </w:rPr>
              <w:t xml:space="preserve"> 10</w:t>
            </w:r>
            <w:r>
              <w:rPr>
                <w:rFonts w:hint="eastAsia" w:ascii="宋体" w:hAnsi="宋体" w:eastAsia="宋体" w:cs="宋体"/>
                <w:color w:val="000000"/>
                <w:spacing w:val="-36"/>
                <w:sz w:val="28"/>
                <w:szCs w:val="28"/>
                <w:lang w:val="en-US" w:eastAsia="zh-CN" w:bidi="ar-SA"/>
              </w:rPr>
              <w:t xml:space="preserve"> </w:t>
            </w:r>
            <w:r>
              <w:rPr>
                <w:rFonts w:hint="eastAsia" w:ascii="宋体" w:hAnsi="宋体" w:eastAsia="宋体" w:cs="宋体"/>
                <w:color w:val="000000"/>
                <w:spacing w:val="6"/>
                <w:sz w:val="28"/>
                <w:szCs w:val="28"/>
                <w:lang w:val="en-US" w:eastAsia="zh-CN" w:bidi="ar-SA"/>
              </w:rPr>
              <w:t xml:space="preserve">分，扣完为止。</w:t>
            </w:r>
            <w:r/>
          </w:p>
        </w:tc>
        <w:tc>
          <w:tcPr>
            <w:tcW w:w="1185"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54"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1710"/>
        </w:trPr>
        <w:tc>
          <w:tcPr>
            <w:tcW w:w="731" w:type="dxa"/>
            <w:vAlign w:val="center"/>
            <w:textDirection w:val="lrTb"/>
            <w:noWrap w:val="false"/>
          </w:tcPr>
          <w:p>
            <w:pPr>
              <w:contextualSpacing w:val="0"/>
              <w:ind w:left="0" w:firstLine="280"/>
              <w:jc w:val="both"/>
              <w:spacing w:before="71"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SA"/>
              </w:rPr>
              <w:t xml:space="preserve">3</w:t>
            </w:r>
            <w:r/>
          </w:p>
        </w:tc>
        <w:tc>
          <w:tcPr>
            <w:tcW w:w="1178" w:type="dxa"/>
            <w:vAlign w:val="center"/>
            <w:textDirection w:val="lrTb"/>
            <w:noWrap w:val="false"/>
          </w:tcPr>
          <w:p>
            <w:pPr>
              <w:contextualSpacing w:val="0"/>
              <w:ind w:left="0" w:firstLine="0"/>
              <w:jc w:val="center"/>
              <w:spacing w:before="72"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2"/>
                <w:sz w:val="28"/>
                <w:szCs w:val="28"/>
                <w:lang w:val="en-US" w:eastAsia="en-US" w:bidi="ar-SA"/>
              </w:rPr>
              <w:t xml:space="preserve">应急响应服务</w:t>
            </w:r>
            <w:r/>
          </w:p>
        </w:tc>
        <w:tc>
          <w:tcPr>
            <w:tcW w:w="1134" w:type="dxa"/>
            <w:vAlign w:val="center"/>
            <w:textDirection w:val="lrTb"/>
            <w:noWrap w:val="false"/>
          </w:tcPr>
          <w:p>
            <w:pPr>
              <w:contextualSpacing w:val="0"/>
              <w:ind w:left="0" w:firstLine="254"/>
              <w:jc w:val="both"/>
              <w:spacing w:before="71"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13"/>
                <w:sz w:val="28"/>
                <w:szCs w:val="28"/>
                <w:lang w:val="en-US" w:eastAsia="zh-CN" w:bidi="ar-SA"/>
              </w:rPr>
              <w:t xml:space="preserve">30</w:t>
            </w:r>
            <w:r/>
          </w:p>
        </w:tc>
        <w:tc>
          <w:tcPr>
            <w:tcW w:w="4103" w:type="dxa"/>
            <w:vAlign w:val="center"/>
            <w:textDirection w:val="lrTb"/>
            <w:noWrap w:val="false"/>
          </w:tcPr>
          <w:p>
            <w:pPr>
              <w:contextualSpacing w:val="0"/>
              <w:ind w:left="0" w:right="105" w:firstLine="0"/>
              <w:jc w:val="both"/>
              <w:spacing w:before="68" w:line="251"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8"/>
                <w:sz w:val="28"/>
                <w:szCs w:val="28"/>
                <w:lang w:val="en-US" w:eastAsia="zh-CN" w:bidi="ar-SA"/>
              </w:rPr>
              <w:t xml:space="preserve">当安全威胁事件发生后，迅</w:t>
            </w:r>
            <w:r>
              <w:rPr>
                <w:rFonts w:hint="eastAsia" w:ascii="宋体" w:hAnsi="宋体" w:eastAsia="宋体" w:cs="宋体"/>
                <w:color w:val="000000"/>
                <w:spacing w:val="9"/>
                <w:sz w:val="28"/>
                <w:szCs w:val="28"/>
                <w:lang w:val="en-US" w:eastAsia="zh-CN" w:bidi="ar-SA"/>
              </w:rPr>
              <w:t xml:space="preserve">速采取措施和行动，以最快速度恢复系统的保密性、完整性和可用性，服务单位应在</w:t>
            </w:r>
            <w:r>
              <w:rPr>
                <w:rFonts w:hint="eastAsia" w:ascii="宋体" w:hAnsi="宋体" w:eastAsia="宋体" w:cs="宋体"/>
                <w:color w:val="000000"/>
                <w:spacing w:val="1"/>
                <w:sz w:val="28"/>
                <w:szCs w:val="28"/>
                <w:lang w:val="en-US" w:eastAsia="zh-CN" w:bidi="ar-SA"/>
              </w:rPr>
              <w:t xml:space="preserve"> </w:t>
            </w:r>
            <w:r>
              <w:rPr>
                <w:rFonts w:hint="eastAsia" w:ascii="宋体" w:hAnsi="宋体" w:eastAsia="宋体" w:cs="宋体"/>
                <w:color w:val="000000"/>
                <w:spacing w:val="5"/>
                <w:sz w:val="28"/>
                <w:szCs w:val="28"/>
                <w:lang w:val="en-US" w:eastAsia="zh-CN" w:bidi="ar-SA"/>
              </w:rPr>
              <w:t xml:space="preserve">30</w:t>
            </w:r>
            <w:r>
              <w:rPr>
                <w:rFonts w:hint="eastAsia" w:ascii="宋体" w:hAnsi="宋体" w:eastAsia="宋体" w:cs="宋体"/>
                <w:color w:val="000000"/>
                <w:spacing w:val="-30"/>
                <w:sz w:val="28"/>
                <w:szCs w:val="28"/>
                <w:lang w:val="en-US" w:eastAsia="zh-CN" w:bidi="ar-SA"/>
              </w:rPr>
              <w:t xml:space="preserve"> </w:t>
            </w:r>
            <w:r>
              <w:rPr>
                <w:rFonts w:hint="eastAsia" w:ascii="宋体" w:hAnsi="宋体" w:eastAsia="宋体" w:cs="宋体"/>
                <w:color w:val="000000"/>
                <w:spacing w:val="5"/>
                <w:sz w:val="28"/>
                <w:szCs w:val="28"/>
                <w:lang w:val="en-US" w:eastAsia="zh-CN" w:bidi="ar-SA"/>
              </w:rPr>
              <w:t xml:space="preserve">分钟内作出响应，未能在</w:t>
            </w:r>
            <w:r>
              <w:rPr>
                <w:rFonts w:hint="eastAsia" w:ascii="宋体" w:hAnsi="宋体" w:eastAsia="宋体" w:cs="宋体"/>
                <w:color w:val="000000"/>
                <w:spacing w:val="6"/>
                <w:sz w:val="28"/>
                <w:szCs w:val="28"/>
                <w:lang w:val="en-US" w:eastAsia="zh-CN" w:bidi="ar-SA"/>
              </w:rPr>
              <w:t xml:space="preserve">要求时间内响应的，扣2分扣完为止。</w:t>
            </w:r>
            <w:r/>
          </w:p>
        </w:tc>
        <w:tc>
          <w:tcPr>
            <w:tcW w:w="1185"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54"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507"/>
        </w:trPr>
        <w:tc>
          <w:tcPr>
            <w:tcW w:w="731" w:type="dxa"/>
            <w:vAlign w:val="center"/>
            <w:textDirection w:val="lrTb"/>
            <w:noWrap w:val="false"/>
          </w:tcPr>
          <w:p>
            <w:pPr>
              <w:contextualSpacing w:val="0"/>
              <w:ind w:left="0" w:firstLine="280"/>
              <w:jc w:val="both"/>
              <w:spacing w:before="71"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SA"/>
              </w:rPr>
              <w:t xml:space="preserve">4</w:t>
            </w:r>
            <w:r/>
          </w:p>
        </w:tc>
        <w:tc>
          <w:tcPr>
            <w:tcW w:w="1178" w:type="dxa"/>
            <w:vAlign w:val="center"/>
            <w:textDirection w:val="lrTb"/>
            <w:noWrap w:val="false"/>
          </w:tcPr>
          <w:p>
            <w:pPr>
              <w:contextualSpacing w:val="0"/>
              <w:ind w:left="0" w:firstLine="0"/>
              <w:jc w:val="center"/>
              <w:spacing w:before="72" w:line="220" w:lineRule="auto"/>
              <w:widowControl/>
              <w:rPr>
                <w:rFonts w:hint="eastAsia" w:ascii="宋体" w:hAnsi="宋体" w:eastAsia="宋体" w:cs="宋体"/>
                <w:color w:val="000000"/>
                <w:sz w:val="28"/>
                <w:szCs w:val="28"/>
                <w:lang w:val="en-US" w:eastAsia="en-US" w:bidi="ar-SA"/>
              </w:rPr>
              <w:suppressLineNumbers w:val="0"/>
            </w:pPr>
            <w:r>
              <w:rPr>
                <w:rFonts w:hint="eastAsia" w:ascii="宋体" w:hAnsi="宋体" w:eastAsia="宋体" w:cs="宋体"/>
                <w:color w:val="000000"/>
                <w:sz w:val="28"/>
                <w:szCs w:val="28"/>
                <w:lang w:val="en-US" w:eastAsia="en-US" w:bidi="ar-SA"/>
              </w:rPr>
              <w:t xml:space="preserve">总计</w:t>
            </w:r>
            <w:r/>
          </w:p>
          <w:p>
            <w:pPr>
              <w:contextualSpacing w:val="0"/>
              <w:ind w:left="0" w:firstLine="0"/>
              <w:jc w:val="center"/>
              <w:spacing w:before="72"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en-US" w:bidi="ar-SA"/>
              </w:rPr>
              <w:t xml:space="preserve">得分</w:t>
            </w:r>
            <w:r/>
          </w:p>
        </w:tc>
        <w:tc>
          <w:tcPr>
            <w:tcW w:w="1134" w:type="dxa"/>
            <w:vAlign w:val="center"/>
            <w:textDirection w:val="lrTb"/>
            <w:noWrap w:val="false"/>
          </w:tcPr>
          <w:p>
            <w:pPr>
              <w:contextualSpacing w:val="0"/>
              <w:ind w:firstLine="0"/>
              <w:jc w:val="center"/>
              <w:spacing w:before="71" w:line="242"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SA"/>
              </w:rPr>
              <w:t xml:space="preserve">/</w:t>
            </w:r>
            <w:r/>
          </w:p>
        </w:tc>
        <w:tc>
          <w:tcPr>
            <w:tcW w:w="4103" w:type="dxa"/>
            <w:vAlign w:val="center"/>
            <w:textDirection w:val="lrTb"/>
            <w:noWrap w:val="false"/>
          </w:tcPr>
          <w:p>
            <w:pPr>
              <w:contextualSpacing w:val="0"/>
              <w:ind w:left="113" w:right="105" w:firstLine="0"/>
              <w:jc w:val="center"/>
              <w:spacing w:before="68" w:line="251"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bidi="ar-SA"/>
              </w:rPr>
              <w:t xml:space="preserve">/</w:t>
            </w:r>
            <w:r/>
          </w:p>
        </w:tc>
        <w:tc>
          <w:tcPr>
            <w:tcW w:w="1185"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154" w:type="dxa"/>
            <w:vAlign w:val="center"/>
            <w:textDirection w:val="lrTb"/>
            <w:noWrap w:val="false"/>
          </w:tcPr>
          <w:p>
            <w:pPr>
              <w:contextualSpacing w:val="0"/>
              <w:ind w:firstLine="0"/>
              <w:jc w:val="center"/>
              <w:spacing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993"/>
        </w:trPr>
        <w:tc>
          <w:tcPr>
            <w:gridSpan w:val="2"/>
            <w:tcW w:w="1909" w:type="dxa"/>
            <w:vAlign w:val="center"/>
            <w:textDirection w:val="lrTb"/>
            <w:noWrap w:val="false"/>
          </w:tcPr>
          <w:p>
            <w:pPr>
              <w:contextualSpacing w:val="0"/>
              <w:ind w:left="0" w:firstLine="0"/>
              <w:jc w:val="both"/>
              <w:spacing w:before="72" w:line="220" w:lineRule="auto"/>
              <w:widowControl/>
              <w:rPr>
                <w:rFonts w:hint="eastAsia" w:ascii="宋体" w:hAnsi="宋体" w:eastAsia="宋体" w:cs="宋体"/>
                <w:color w:val="000000"/>
                <w:sz w:val="28"/>
                <w:szCs w:val="28"/>
              </w:rPr>
              <w:suppressLineNumbers w:val="0"/>
            </w:pPr>
            <w:r>
              <w:rPr>
                <w:rFonts w:hint="eastAsia" w:ascii="宋体" w:hAnsi="宋体" w:eastAsia="宋体" w:cs="宋体"/>
                <w:color w:val="000000"/>
                <w:spacing w:val="-2"/>
                <w:sz w:val="28"/>
                <w:szCs w:val="28"/>
                <w:lang w:val="en-US" w:eastAsia="en-US" w:bidi="ar-SA"/>
              </w:rPr>
              <w:t xml:space="preserve">考核等级划分</w:t>
            </w:r>
            <w:r/>
          </w:p>
        </w:tc>
        <w:tc>
          <w:tcPr>
            <w:gridSpan w:val="4"/>
            <w:tcW w:w="7576" w:type="dxa"/>
            <w:vAlign w:val="center"/>
            <w:textDirection w:val="lrTb"/>
            <w:noWrap w:val="false"/>
          </w:tcPr>
          <w:p>
            <w:pPr>
              <w:contextualSpacing w:val="0"/>
              <w:ind w:firstLine="0"/>
              <w:jc w:val="center"/>
              <w:spacing w:line="240" w:lineRule="auto"/>
              <w:rPr>
                <w:rFonts w:hint="eastAsia" w:ascii="宋体" w:hAnsi="宋体" w:eastAsia="宋体" w:cs="宋体"/>
                <w:spacing w:val="-6"/>
                <w:sz w:val="28"/>
                <w:szCs w:val="28"/>
              </w:rPr>
              <w:suppressLineNumbers w:val="0"/>
            </w:pPr>
            <w:r>
              <w:rPr>
                <w:rFonts w:hint="eastAsia" w:ascii="宋体" w:hAnsi="宋体" w:eastAsia="宋体" w:cs="宋体"/>
                <w:spacing w:val="-5"/>
                <w:sz w:val="28"/>
                <w:szCs w:val="28"/>
              </w:rPr>
              <w:t xml:space="preserve">优秀（85分及以上）、良好（75-84</w:t>
            </w:r>
            <w:r>
              <w:rPr>
                <w:rFonts w:hint="eastAsia" w:ascii="宋体" w:hAnsi="宋体" w:eastAsia="宋体" w:cs="宋体"/>
                <w:spacing w:val="-46"/>
                <w:sz w:val="28"/>
                <w:szCs w:val="28"/>
              </w:rPr>
              <w:t xml:space="preserve"> </w:t>
            </w:r>
            <w:r>
              <w:rPr>
                <w:rFonts w:hint="eastAsia" w:ascii="宋体" w:hAnsi="宋体" w:eastAsia="宋体" w:cs="宋体"/>
                <w:spacing w:val="-5"/>
                <w:sz w:val="28"/>
                <w:szCs w:val="28"/>
              </w:rPr>
              <w:t xml:space="preserve">分）</w:t>
            </w:r>
            <w:r>
              <w:rPr>
                <w:rFonts w:hint="eastAsia" w:ascii="宋体" w:hAnsi="宋体" w:eastAsia="宋体" w:cs="宋体"/>
                <w:spacing w:val="-6"/>
                <w:sz w:val="28"/>
                <w:szCs w:val="28"/>
              </w:rPr>
              <w:t xml:space="preserve">、</w:t>
            </w:r>
            <w:r/>
          </w:p>
          <w:p>
            <w:pPr>
              <w:contextualSpacing w:val="0"/>
              <w:ind w:firstLine="0"/>
              <w:jc w:val="center"/>
              <w:spacing w:line="240" w:lineRule="auto"/>
              <w:rPr>
                <w:rFonts w:hint="eastAsia" w:ascii="宋体" w:hAnsi="宋体" w:eastAsia="宋体" w:cs="宋体"/>
                <w:spacing w:val="-2"/>
                <w:sz w:val="28"/>
                <w:szCs w:val="28"/>
              </w:rPr>
              <w:suppressLineNumbers w:val="0"/>
            </w:pPr>
            <w:r>
              <w:rPr>
                <w:rFonts w:hint="eastAsia" w:ascii="宋体" w:hAnsi="宋体" w:eastAsia="宋体" w:cs="宋体"/>
                <w:spacing w:val="-6"/>
                <w:sz w:val="28"/>
                <w:szCs w:val="28"/>
              </w:rPr>
              <w:t xml:space="preserve">合</w:t>
            </w:r>
            <w:r>
              <w:rPr>
                <w:rFonts w:hint="eastAsia" w:ascii="宋体" w:hAnsi="宋体" w:eastAsia="宋体" w:cs="宋体"/>
                <w:sz w:val="28"/>
                <w:szCs w:val="28"/>
              </w:rPr>
              <w:t xml:space="preserve"> </w:t>
            </w:r>
            <w:r>
              <w:rPr>
                <w:rFonts w:hint="eastAsia" w:ascii="宋体" w:hAnsi="宋体" w:eastAsia="宋体" w:cs="宋体"/>
                <w:spacing w:val="-2"/>
                <w:sz w:val="28"/>
                <w:szCs w:val="28"/>
              </w:rPr>
              <w:t xml:space="preserve">格（60-74</w:t>
            </w:r>
            <w:r>
              <w:rPr>
                <w:rFonts w:hint="eastAsia" w:ascii="宋体" w:hAnsi="宋体" w:eastAsia="宋体" w:cs="宋体"/>
                <w:spacing w:val="-36"/>
                <w:sz w:val="28"/>
                <w:szCs w:val="28"/>
              </w:rPr>
              <w:t xml:space="preserve"> </w:t>
            </w:r>
            <w:r>
              <w:rPr>
                <w:rFonts w:hint="eastAsia" w:ascii="宋体" w:hAnsi="宋体" w:eastAsia="宋体" w:cs="宋体"/>
                <w:spacing w:val="-2"/>
                <w:sz w:val="28"/>
                <w:szCs w:val="28"/>
              </w:rPr>
              <w:t xml:space="preserve">分）、不合格（59</w:t>
            </w:r>
            <w:r>
              <w:rPr>
                <w:rFonts w:hint="eastAsia" w:ascii="宋体" w:hAnsi="宋体" w:eastAsia="宋体" w:cs="宋体"/>
                <w:spacing w:val="-43"/>
                <w:sz w:val="28"/>
                <w:szCs w:val="28"/>
              </w:rPr>
              <w:t xml:space="preserve"> </w:t>
            </w:r>
            <w:r>
              <w:rPr>
                <w:rFonts w:hint="eastAsia" w:ascii="宋体" w:hAnsi="宋体" w:eastAsia="宋体" w:cs="宋体"/>
                <w:spacing w:val="-2"/>
                <w:sz w:val="28"/>
                <w:szCs w:val="28"/>
              </w:rPr>
              <w:t xml:space="preserve">分及以下）</w:t>
            </w:r>
            <w:r/>
          </w:p>
        </w:tc>
      </w:tr>
    </w:tbl>
    <w:p>
      <w:pPr>
        <w:ind w:left="0" w:firstLine="0"/>
        <w:spacing w:line="40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hint="eastAsia" w:ascii="宋体" w:hAnsi="宋体" w:eastAsia="宋体" w:cs="宋体"/>
          <w:sz w:val="28"/>
          <w:szCs w:val="28"/>
        </w:rPr>
      </w:pPr>
      <w:r>
        <w:rPr>
          <w:rFonts w:hint="eastAsia" w:ascii="宋体" w:hAnsi="宋体" w:eastAsia="宋体" w:cs="宋体"/>
          <w:sz w:val="28"/>
          <w:szCs w:val="28"/>
        </w:rPr>
        <w:t xml:space="preserve">考核方式：</w:t>
      </w:r>
      <w:r/>
    </w:p>
    <w:p>
      <w:pPr>
        <w:ind w:firstLine="0"/>
        <w:jc w:val="left"/>
        <w:spacing w:line="240" w:lineRule="auto"/>
        <w:tabs>
          <w:tab w:val="left" w:pos="0" w:leader="none"/>
          <w:tab w:val="left" w:pos="720" w:leader="none"/>
          <w:tab w:val="left" w:pos="1440" w:leader="none"/>
          <w:tab w:val="left" w:pos="2160" w:leader="none"/>
          <w:tab w:val="left" w:pos="2880" w:leader="none"/>
          <w:tab w:val="left" w:pos="3600" w:leader="none"/>
          <w:tab w:val="left" w:pos="4320" w:leader="none"/>
        </w:tabs>
        <w:rPr>
          <w:rFonts w:hint="eastAsia" w:ascii="宋体" w:hAnsi="宋体" w:eastAsia="宋体" w:cs="宋体"/>
          <w:sz w:val="28"/>
          <w:szCs w:val="28"/>
        </w:rPr>
      </w:pPr>
      <w:r>
        <w:rPr>
          <w:rFonts w:hint="eastAsia" w:ascii="宋体" w:hAnsi="宋体" w:eastAsia="宋体" w:cs="宋体"/>
          <w:sz w:val="28"/>
          <w:szCs w:val="28"/>
        </w:rPr>
        <w:t xml:space="preserve">1.考评85分（含）及以上的，全额支付当期费用；</w:t>
      </w:r>
      <w:r/>
    </w:p>
    <w:p>
      <w:pPr>
        <w:ind w:firstLine="0"/>
        <w:jc w:val="left"/>
        <w:spacing w:line="240" w:lineRule="auto"/>
        <w:tabs>
          <w:tab w:val="left" w:pos="0" w:leader="none"/>
          <w:tab w:val="left" w:pos="720" w:leader="none"/>
          <w:tab w:val="left" w:pos="1440" w:leader="none"/>
          <w:tab w:val="left" w:pos="2160" w:leader="none"/>
          <w:tab w:val="left" w:pos="2880" w:leader="none"/>
          <w:tab w:val="left" w:pos="3600" w:leader="none"/>
          <w:tab w:val="left" w:pos="4320" w:leader="none"/>
        </w:tabs>
        <w:rPr>
          <w:rFonts w:hint="eastAsia" w:ascii="宋体" w:hAnsi="宋体" w:eastAsia="宋体" w:cs="宋体"/>
          <w:sz w:val="28"/>
          <w:szCs w:val="28"/>
        </w:rPr>
      </w:pPr>
      <w:r>
        <w:rPr>
          <w:rFonts w:hint="eastAsia" w:ascii="宋体" w:hAnsi="宋体" w:eastAsia="宋体" w:cs="宋体"/>
          <w:sz w:val="28"/>
          <w:szCs w:val="28"/>
        </w:rPr>
        <w:t xml:space="preserve">2.考评84分（含）至60分（含）的，每少1分，扣减</w:t>
      </w:r>
      <w:r>
        <w:rPr>
          <w:rFonts w:hint="eastAsia" w:ascii="宋体" w:hAnsi="宋体" w:eastAsia="宋体" w:cs="宋体"/>
          <w:sz w:val="28"/>
          <w:szCs w:val="28"/>
          <w:lang w:val="en-US" w:eastAsia="zh-CN"/>
        </w:rPr>
        <w:t xml:space="preserve">500</w:t>
      </w:r>
      <w:r>
        <w:rPr>
          <w:rFonts w:hint="eastAsia" w:ascii="宋体" w:hAnsi="宋体" w:eastAsia="宋体" w:cs="宋体"/>
          <w:sz w:val="28"/>
          <w:szCs w:val="28"/>
        </w:rPr>
        <w:t xml:space="preserve">元，费用从当期费用里扣除；</w:t>
      </w:r>
      <w:r/>
    </w:p>
    <w:p>
      <w:pPr>
        <w:ind w:firstLine="0"/>
        <w:jc w:val="left"/>
        <w:spacing w:after="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3.低于60分（不含）则为当次考核不合格，不结算当期费用。累计 2 次考核不合格，则甲方有权解除合同。</w:t>
      </w:r>
      <w:r/>
    </w:p>
    <w:p>
      <w:pPr>
        <w:jc w:val="left"/>
        <w:spacing w:after="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0" w:firstLine="0"/>
        <w:jc w:val="left"/>
        <w:spacing w:after="0"/>
        <w:widowControl w:val="off"/>
        <w:rPr>
          <w:rFonts w:hint="eastAsia" w:ascii="宋体" w:hAnsi="宋体" w:eastAsia="宋体" w:cs="宋体"/>
          <w:sz w:val="28"/>
          <w:szCs w:val="28"/>
          <w:lang w:val="en-US" w:eastAsia="zh-CN" w:bidi="ar-SA"/>
        </w:rPr>
      </w:pPr>
      <w:r>
        <w:rPr>
          <w:rFonts w:hint="eastAsia" w:ascii="宋体" w:hAnsi="宋体" w:eastAsia="宋体" w:cs="宋体"/>
          <w:spacing w:val="6"/>
          <w:sz w:val="28"/>
          <w:szCs w:val="28"/>
          <w:lang w:val="en-US" w:eastAsia="zh-CN" w:bidi="ar-SA"/>
        </w:rPr>
        <w:t xml:space="preserve">考核部门:              </w:t>
      </w:r>
      <w:r>
        <w:rPr>
          <w:rFonts w:hint="eastAsia" w:ascii="宋体" w:hAnsi="宋体" w:eastAsia="宋体" w:cs="宋体"/>
          <w:spacing w:val="8"/>
          <w:sz w:val="28"/>
          <w:szCs w:val="28"/>
          <w:lang w:val="en-US" w:eastAsia="zh-CN" w:bidi="ar-SA"/>
        </w:rPr>
        <w:t xml:space="preserve">考核人:               考核日期：</w:t>
      </w:r>
      <w:r/>
    </w:p>
    <w:p>
      <w:pPr>
        <w:rPr>
          <w:rFonts w:hint="eastAsia"/>
          <w:lang w:val="en-US" w:eastAsia="zh-CN"/>
        </w:rPr>
      </w:pPr>
      <w:r>
        <w:rPr>
          <w:rFonts w:hint="eastAsia"/>
          <w:lang w:val="en-US" w:eastAsia="zh-CN"/>
        </w:rPr>
      </w:r>
      <w:r/>
    </w:p>
    <w:p>
      <w:pPr>
        <w:pStyle w:val="1092"/>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pStyle w:val="1099"/>
        <w:ind w:firstLine="523"/>
        <w:pageBreakBefore w:val="0"/>
        <w:spacing w:line="360" w:lineRule="auto"/>
        <w:rPr>
          <w:rFonts w:hint="eastAsia" w:ascii="宋体" w:hAnsi="宋体" w:eastAsia="宋体" w:cs="宋体"/>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r/>
    </w:p>
    <w:p>
      <w:pPr>
        <w:pStyle w:val="1099"/>
        <w:ind w:firstLine="448"/>
        <w:spacing w:before="60" w:after="60"/>
        <w:rPr>
          <w:rFonts w:ascii="宋体" w:hAnsi="宋体"/>
          <w:szCs w:val="21"/>
        </w:rPr>
      </w:pPr>
      <w:r>
        <w:rPr>
          <w:rFonts w:ascii="宋体" w:hAnsi="宋体"/>
          <w:szCs w:val="21"/>
        </w:rPr>
      </w:r>
      <w:r/>
    </w:p>
    <w:p>
      <w:pPr>
        <w:pStyle w:val="1154"/>
        <w:rPr>
          <w:rFonts w:hint="default"/>
          <w:lang w:val="en-US" w:eastAsia="zh-CN"/>
        </w:rPr>
      </w:pPr>
      <w:r>
        <w:rPr>
          <w:rFonts w:hint="default"/>
          <w:lang w:val="en-US" w:eastAsia="zh-CN"/>
        </w:rPr>
      </w:r>
      <w:r/>
    </w:p>
    <w:p>
      <w:pPr>
        <w:pStyle w:val="1100"/>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numPr>
          <w:ilvl w:val="0"/>
          <w:numId w:val="0"/>
        </w:numPr>
      </w:pPr>
      <w:r/>
      <w:r/>
    </w:p>
    <w:p>
      <w:pPr>
        <w:pStyle w:val="1100"/>
        <w:rPr>
          <w:rFonts w:hint="default" w:eastAsia="楷体_GB2312"/>
          <w:lang w:val="en-US" w:eastAsia="zh-CN"/>
        </w:rPr>
      </w:pPr>
      <w:r>
        <w:rPr>
          <w:rFonts w:hint="default" w:eastAsia="楷体_GB2312"/>
          <w:lang w:val="en-US" w:eastAsia="zh-CN"/>
        </w:rPr>
      </w:r>
      <w:r/>
    </w:p>
    <w:p>
      <w:pPr>
        <w:numPr>
          <w:ilvl w:val="0"/>
          <w:numId w:val="0"/>
        </w:numPr>
        <w:ind w:left="560"/>
        <w:rPr>
          <w:rFonts w:hint="default"/>
          <w:lang w:val="en-US" w:eastAsia="zh-CN"/>
        </w:rPr>
      </w:pPr>
      <w:r>
        <w:rPr>
          <w:rFonts w:hint="default"/>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r/>
      <w:bookmarkEnd w:id="5"/>
      <w:r/>
      <w:bookmarkEnd w:id="6"/>
      <w:r/>
      <w:r/>
    </w:p>
    <w:p>
      <w:pPr>
        <w:ind w:firstLine="112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93"/>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firstLine="0"/>
        <w:jc w:val="center"/>
        <w:spacing w:line="240" w:lineRule="auto"/>
        <w:rPr>
          <w:rFonts w:hint="eastAsia" w:ascii="宋体" w:hAnsi="宋体" w:eastAsia="宋体" w:cs="宋体"/>
          <w:b/>
          <w:bCs/>
          <w:sz w:val="28"/>
          <w:szCs w:val="28"/>
          <w:lang w:val="en-US" w:eastAsia="zh-CN"/>
        </w:rPr>
        <w:outlineLvl w:val="0"/>
      </w:pPr>
      <w:r>
        <w:rPr>
          <w:rFonts w:hint="eastAsia" w:ascii="宋体" w:hAnsi="宋体" w:cs="宋体"/>
          <w:b/>
          <w:bCs/>
          <w:sz w:val="28"/>
          <w:szCs w:val="28"/>
          <w:lang w:val="en-US" w:eastAsia="zh-CN"/>
        </w:rPr>
        <w:t xml:space="preserve">01包至04包通用</w:t>
      </w:r>
      <w:r/>
    </w:p>
    <w:p>
      <w:pPr>
        <w:ind w:firstLine="0"/>
        <w:jc w:val="center"/>
        <w:spacing w:line="240" w:lineRule="auto"/>
        <w:rPr>
          <w:rFonts w:hint="eastAsia" w:ascii="宋体" w:hAnsi="宋体" w:eastAsia="宋体" w:cs="宋体"/>
          <w:bCs/>
          <w:sz w:val="28"/>
          <w:szCs w:val="28"/>
        </w:rPr>
        <w:outlineLvl w:val="0"/>
      </w:pPr>
      <w:r>
        <w:rPr>
          <w:rFonts w:hint="eastAsia" w:ascii="宋体" w:hAnsi="宋体" w:eastAsia="宋体" w:cs="宋体"/>
          <w:sz w:val="28"/>
          <w:szCs w:val="28"/>
        </w:rPr>
        <w:t xml:space="preserve">常州市</w:t>
      </w:r>
      <w:r>
        <w:rPr>
          <w:rFonts w:hint="eastAsia" w:ascii="宋体" w:hAnsi="宋体" w:eastAsia="宋体" w:cs="宋体"/>
          <w:sz w:val="28"/>
          <w:szCs w:val="28"/>
          <w:lang w:eastAsia="zh-CN"/>
        </w:rPr>
        <w:t xml:space="preserve">金坛区政府</w:t>
      </w:r>
      <w:r>
        <w:rPr>
          <w:rFonts w:hint="eastAsia" w:ascii="宋体" w:hAnsi="宋体" w:eastAsia="宋体" w:cs="宋体"/>
          <w:sz w:val="28"/>
          <w:szCs w:val="28"/>
        </w:rPr>
        <w:t xml:space="preserve">采购合同（服务）（合同编号）</w:t>
      </w:r>
      <w:r/>
    </w:p>
    <w:p>
      <w:pPr>
        <w:ind w:firstLine="0"/>
        <w:jc w:val="both"/>
        <w:spacing w:before="120" w:after="120" w:line="570" w:lineRule="exact"/>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甲方：（买方）_________</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乙方：（卖方）_________</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甲、乙双方根据常州市</w:t>
      </w:r>
      <w:r>
        <w:rPr>
          <w:rFonts w:hint="eastAsia" w:ascii="宋体" w:hAnsi="宋体" w:eastAsia="宋体" w:cs="宋体"/>
          <w:sz w:val="28"/>
          <w:szCs w:val="28"/>
          <w:lang w:eastAsia="zh-CN"/>
        </w:rPr>
        <w:t xml:space="preserve">金坛区</w:t>
      </w:r>
      <w:r>
        <w:rPr>
          <w:rFonts w:hint="eastAsia" w:ascii="宋体" w:hAnsi="宋体" w:eastAsia="宋体" w:cs="宋体"/>
          <w:sz w:val="28"/>
          <w:szCs w:val="28"/>
        </w:rPr>
        <w:t xml:space="preserve">政府采购中心</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项目公开招标的结果，签署本合同。</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一、合同内容</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 标的名称：</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1.2标的质量：</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1.3标的数量（规模）：</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1.4履行时间（期限）：</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1.5履行地点：</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1.6履行方式：</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二、合同金额</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2.1本合同金额为（大写）：___________________________元整（_______________元）人民币或其他币种。</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三、技术资料</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3.1乙方应按招标文件规定的时间向甲方提供服务（包含与服务相关的货物）的有关技术资料。</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四、知识产权</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40"/>
        <w:jc w:val="both"/>
        <w:widowControl w:val="off"/>
        <w:rPr>
          <w:rFonts w:hint="eastAsia" w:ascii="宋体" w:hAnsi="宋体" w:eastAsia="宋体" w:cs="宋体"/>
          <w:sz w:val="28"/>
          <w:szCs w:val="28"/>
          <w:u w:val="single"/>
          <w:lang w:val="en-US" w:eastAsia="zh-CN" w:bidi="ar-SA"/>
        </w:rPr>
      </w:pPr>
      <w:r>
        <w:rPr>
          <w:rFonts w:hint="eastAsia" w:ascii="宋体" w:hAnsi="宋体" w:eastAsia="宋体" w:cs="宋体"/>
          <w:sz w:val="28"/>
          <w:szCs w:val="28"/>
          <w:lang w:val="en-US" w:eastAsia="zh-CN" w:bidi="ar-SA"/>
        </w:rPr>
        <w:t xml:space="preserve">五、产权担保</w:t>
      </w:r>
      <w:r/>
    </w:p>
    <w:p>
      <w:pPr>
        <w:ind w:firstLine="640"/>
        <w:spacing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5.1乙方保证所交付的服务（包含与服务相关的货物）的所有权完全属于乙方且无任何抵押、查封等产权瑕疵。</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六、履约保证金</w:t>
      </w:r>
      <w:r/>
    </w:p>
    <w:p>
      <w:pPr>
        <w:ind w:firstLine="560"/>
        <w:spacing w:line="570" w:lineRule="exact"/>
        <w:rPr>
          <w:rFonts w:hint="eastAsia" w:ascii="宋体" w:hAnsi="宋体" w:eastAsia="宋体" w:cs="宋体"/>
          <w:i w:val="0"/>
          <w:iCs w:val="0"/>
          <w:sz w:val="28"/>
          <w:szCs w:val="28"/>
        </w:rPr>
      </w:pPr>
      <w:r>
        <w:rPr>
          <w:rFonts w:hint="eastAsia" w:ascii="宋体" w:hAnsi="宋体" w:eastAsia="宋体" w:cs="宋体"/>
          <w:i w:val="0"/>
          <w:iCs w:val="0"/>
          <w:sz w:val="28"/>
          <w:szCs w:val="28"/>
        </w:rPr>
        <w:t xml:space="preserve">本项目</w:t>
      </w:r>
      <w:r>
        <w:rPr>
          <w:rFonts w:hint="eastAsia" w:ascii="宋体" w:hAnsi="宋体" w:eastAsia="宋体" w:cs="宋体"/>
          <w:i w:val="0"/>
          <w:iCs w:val="0"/>
          <w:sz w:val="28"/>
          <w:szCs w:val="28"/>
          <w:u w:val="single"/>
        </w:rPr>
        <w:t xml:space="preserve">（不收取）</w:t>
      </w:r>
      <w:r>
        <w:rPr>
          <w:rFonts w:hint="eastAsia" w:ascii="宋体" w:hAnsi="宋体" w:eastAsia="宋体" w:cs="宋体"/>
          <w:i w:val="0"/>
          <w:iCs w:val="0"/>
          <w:sz w:val="28"/>
          <w:szCs w:val="28"/>
        </w:rPr>
        <w:t xml:space="preserve">履约保证金。</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七、合同转包或分包</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7.1乙方不得将合同标的转包给他人履行。</w:t>
      </w:r>
      <w:r/>
    </w:p>
    <w:p>
      <w:pPr>
        <w:ind w:firstLine="640"/>
        <w:spacing w:line="240" w:lineRule="auto"/>
        <w:rPr>
          <w:rFonts w:hint="eastAsia" w:ascii="宋体" w:hAnsi="宋体" w:eastAsia="宋体" w:cs="宋体"/>
          <w:i w:val="0"/>
          <w:iCs/>
          <w:sz w:val="28"/>
          <w:szCs w:val="28"/>
        </w:rPr>
      </w:pPr>
      <w:r>
        <w:rPr>
          <w:rFonts w:hint="eastAsia" w:ascii="宋体" w:hAnsi="宋体" w:eastAsia="宋体" w:cs="宋体"/>
          <w:sz w:val="28"/>
          <w:szCs w:val="28"/>
        </w:rPr>
        <w:t xml:space="preserve">7.2乙方不得将合同标的分包给他人履行。</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7.3乙方如有转包或未经甲方同意的分包行为，甲方有权解除合同。</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八、合同款项支付</w:t>
      </w:r>
      <w:r/>
    </w:p>
    <w:p>
      <w:pPr>
        <w:numPr>
          <w:ilvl w:val="0"/>
          <w:numId w:val="0"/>
        </w:numPr>
        <w:ind w:firstLine="560"/>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8.1分期付款：安装、调试，培训合格正常运行后付90%，余款在质保期满1年后1周内付清。</w:t>
      </w:r>
      <w:r>
        <w:rPr>
          <w:rFonts w:hint="eastAsia" w:ascii="宋体" w:hAnsi="宋体" w:eastAsia="宋体" w:cs="宋体"/>
          <w:color w:val="ff0000"/>
          <w:sz w:val="28"/>
          <w:szCs w:val="28"/>
        </w:rPr>
        <w:t xml:space="preserve">满足合同约定支付条件的，自收到发票后10个工作日内支付。</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九、税费</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9.1 本合同执行中相关的一切税费均由乙方负担。</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十、项目验收</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10.1甲方依法组织履约验收工作。</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10.3对于实际使用人和甲方分离的项目，甲方邀请实际使用人参与验收。</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10.4如有必要，甲方邀请参加本项目的其他供应商或第三方专业机构及专家参与验收，相关意见将作为验收书的参考资料。</w:t>
      </w:r>
      <w:r/>
    </w:p>
    <w:p>
      <w:pPr>
        <w:ind w:left="0" w:right="0" w:firstLine="560"/>
        <w:spacing w:before="0" w:after="0" w:line="420" w:lineRule="atLeast"/>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10.5甲方成立验收小组，</w:t>
      </w:r>
      <w:r>
        <w:rPr>
          <w:rFonts w:hint="default" w:ascii="宋体" w:hAnsi="宋体" w:eastAsia="宋体" w:cs="宋体"/>
          <w:color w:val="000000"/>
          <w:sz w:val="28"/>
        </w:rPr>
        <w:t xml:space="preserve">采购人将参照《江苏省政府采购履约验收管理办法》及《考核细则</w:t>
      </w:r>
      <w:r>
        <w:rPr>
          <w:rFonts w:hint="eastAsia" w:ascii="宋体" w:hAnsi="宋体" w:eastAsia="宋体" w:cs="宋体"/>
          <w:color w:val="000000"/>
          <w:sz w:val="28"/>
          <w:lang w:val="en-US" w:eastAsia="zh-CN"/>
        </w:rPr>
        <w:t xml:space="preserve">表</w:t>
      </w:r>
      <w:r>
        <w:rPr>
          <w:rFonts w:hint="default" w:ascii="宋体" w:hAnsi="宋体" w:eastAsia="宋体" w:cs="宋体"/>
          <w:color w:val="000000"/>
          <w:sz w:val="28"/>
        </w:rPr>
        <w:t xml:space="preserve">》组织验收考核</w:t>
      </w:r>
      <w:r>
        <w:rPr>
          <w:rFonts w:hint="eastAsia" w:ascii="宋体" w:hAnsi="宋体" w:eastAsia="宋体" w:cs="宋体"/>
          <w:sz w:val="28"/>
          <w:szCs w:val="28"/>
          <w:lang w:val="en-US" w:eastAsia="zh-CN" w:bidi="ar-SA"/>
        </w:rPr>
        <w:t xml:space="preserve">,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十一、违约责任</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11.1甲方无正当理由拒绝接受乙方提供服务的，甲方向乙方偿付拒绝接受服务合同价款总值的违约金。</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11.2甲方无故逾期验收和办理合同款项支付手续的,甲方应按逾期付款总额每日向乙方支付违约金。</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11.4乙方所提供服务的标准不符合合同规定及招标文件规定标准的，甲方有权拒绝接受服务，并可单方面解除合同。</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十二、不可抗力事件处理</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12.1在合同有效期内，任何一方因不可抗力事件导致不能履行合同，则合同履行期可延长，其延长期与不可抗力影响期相同。</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12.2不可抗力事件发生后，应立即通知对方，并寄送有关权威机构出具的证明。</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12.3不可抗力事件延续120天以上，双方应通过友好协商，确定是否继续履行合同。</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十三、解决争议的方法</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13.1双方在签订、履行合同中所发生的一切争议，应通过友好协商解决。如协商不成，由甲方住所地人民法院管辖。</w:t>
      </w:r>
      <w:r/>
    </w:p>
    <w:p>
      <w:pPr>
        <w:ind w:firstLine="64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十四、合同生效及其他</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14.1合同经双方法定代表人或授权委托代表人签字并加盖单位公章后生效。</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14.2本合同未尽事宜，遵照《中华人民共和国民法典》《中华人民共和国政府采购法》有关条文执行。</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t xml:space="preserve">14.3 本合同正本一式两份，具有同等法律效力，甲方、乙方各执一份。</w:t>
      </w:r>
      <w:r/>
    </w:p>
    <w:p>
      <w:pPr>
        <w:ind w:firstLine="64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甲方：</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乙方：</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地址：</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法定代表人或授权代表：</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法定代表人或授权代表：</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联系电话：</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签订日期：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bookmarkStart w:id="42" w:name="_Hlt16619369"/>
      <w:r/>
      <w:bookmarkEnd w:id="42"/>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签订日期：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r/>
    </w:p>
    <w:p>
      <w:pPr>
        <w:pStyle w:val="1093"/>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企业报价折扣证明—《中小企业声明函》或者《残疾人福利性单位声明函》或者监狱企业证明文件</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3" w:name="_Toc28025"/>
      <w:r/>
      <w:bookmarkStart w:id="44" w:name="_Toc17140"/>
      <w:r/>
      <w:bookmarkStart w:id="45" w:name="_Toc21548"/>
      <w:r/>
      <w:bookmarkStart w:id="46" w:name="_Toc9364"/>
      <w:r/>
      <w:bookmarkStart w:id="47" w:name="_Toc771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094"/>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编 号：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rPr>
          <w:rFonts w:hint="eastAsia"/>
          <w:lang w:val="en-US" w:eastAsia="zh-CN"/>
        </w:rPr>
      </w:pPr>
      <w:r>
        <w:rPr>
          <w:rFonts w:hint="eastAsia" w:ascii="宋体" w:hAnsi="宋体" w:eastAsia="宋体" w:cs="宋体"/>
          <w:sz w:val="28"/>
          <w:szCs w:val="28"/>
          <w:lang w:val="en-US" w:eastAsia="zh-CN"/>
        </w:rPr>
        <w:t xml:space="preserve">项 目 包 号： </w:t>
      </w:r>
      <w:r>
        <w:rPr>
          <w:rFonts w:hint="eastAsia"/>
          <w:lang w:val="en-US" w:eastAsia="zh-CN"/>
        </w:rPr>
        <w:t xml:space="preserve">               </w:t>
      </w:r>
      <w:r/>
    </w:p>
    <w:p>
      <w:pPr>
        <w:rPr>
          <w:rFonts w:hint="eastAsia"/>
          <w:lang w:val="en-US" w:eastAsia="zh-CN"/>
        </w:rPr>
      </w:pPr>
      <w:r>
        <w:rPr>
          <w:rFonts w:hint="eastAsia"/>
          <w:lang w:val="en-US" w:eastAsia="zh-CN"/>
        </w:rPr>
        <w:t xml:space="preserve">      </w:t>
      </w:r>
      <w:r/>
    </w:p>
    <w:p>
      <w:pPr>
        <w:ind w:firstLine="840"/>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ind w:firstLine="840"/>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4"/>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11"/>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94"/>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120"/>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111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1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094"/>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w:t>
      </w:r>
      <w:r>
        <w:rPr>
          <w:rFonts w:hint="eastAsia" w:ascii="宋体" w:hAnsi="宋体" w:eastAsia="宋体" w:cs="宋体"/>
          <w:sz w:val="28"/>
          <w:szCs w:val="28"/>
          <w:lang w:val="en-US" w:eastAsia="zh-CN"/>
        </w:rPr>
        <w:t xml:space="preserve">常州市</w:t>
      </w:r>
      <w:r>
        <w:rPr>
          <w:rFonts w:hint="eastAsia" w:ascii="宋体" w:hAnsi="宋体" w:eastAsia="宋体" w:cs="宋体"/>
          <w:sz w:val="28"/>
          <w:szCs w:val="28"/>
          <w:lang w:val="zh-TW" w:eastAsia="zh-CN"/>
        </w:rPr>
        <w:t xml:space="preserve">金坛区第三人民医院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11"/>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1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1111"/>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094"/>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0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11"/>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1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11"/>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1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1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1111"/>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1094"/>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0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1094"/>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b/>
          <w:color w:val="000000"/>
          <w:sz w:val="28"/>
          <w:szCs w:val="28"/>
          <w:u w:val="none"/>
          <w:lang w:val="en-US" w:eastAsia="zh-CN" w:bidi="ar"/>
        </w:rPr>
        <w:t xml:space="preserve">项目包号：</w:t>
      </w:r>
      <w:r/>
    </w:p>
    <w:tbl>
      <w:tblPr>
        <w:tblStyle w:val="1097"/>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11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1111"/>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1111"/>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094"/>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center"/>
        <w:pageBreakBefore w:val="0"/>
        <w:spacing w:beforeAutospacing="0" w:afterAutospacing="0" w:line="312" w:lineRule="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01包</w:t>
      </w:r>
      <w:r/>
    </w:p>
    <w:tbl>
      <w:tblPr>
        <w:tblStyle w:val="109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8" w:name="_Hlk72092651"/>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8"/>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2871"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center"/>
        <w:pageBreakBefore w:val="0"/>
        <w:spacing w:beforeAutospacing="0" w:afterAutospacing="0" w:line="312" w:lineRule="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02包</w:t>
      </w:r>
      <w:r/>
    </w:p>
    <w:tbl>
      <w:tblPr>
        <w:tblStyle w:val="109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2871"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jc w:val="center"/>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pageBreakBefore w:val="0"/>
        <w:spacing w:beforeAutospacing="0" w:afterAutospacing="0" w:line="312" w:lineRule="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03包</w:t>
      </w:r>
      <w:r/>
    </w:p>
    <w:tbl>
      <w:tblPr>
        <w:tblStyle w:val="109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2871"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jc w:val="center"/>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pageBreakBefore w:val="0"/>
        <w:spacing w:beforeAutospacing="0" w:afterAutospacing="0" w:line="312" w:lineRule="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04包</w:t>
      </w:r>
      <w:r/>
    </w:p>
    <w:tbl>
      <w:tblPr>
        <w:tblStyle w:val="109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871"/>
        <w:gridCol w:w="30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30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2871"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项条款内容</w:t>
            </w:r>
            <w:r/>
          </w:p>
        </w:tc>
        <w:tc>
          <w:tcPr>
            <w:tcW w:w="30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094"/>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9" w:name="_Ref493492102"/>
      <w:r/>
      <w:r/>
    </w:p>
    <w:p>
      <w:pPr>
        <w:pStyle w:val="1111"/>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1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9"/>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常州市</w:t>
      </w:r>
      <w:r>
        <w:rPr>
          <w:rFonts w:hint="eastAsia" w:ascii="宋体" w:hAnsi="宋体" w:eastAsia="宋体" w:cs="宋体"/>
          <w:b/>
          <w:bCs/>
          <w:sz w:val="28"/>
          <w:szCs w:val="28"/>
          <w:lang w:val="zh-TW" w:eastAsia="zh-CN" w:bidi="ar-SA"/>
        </w:rPr>
        <w:t xml:space="preserve">金坛区第三人民医院</w:t>
      </w:r>
      <w:r>
        <w:rPr>
          <w:rFonts w:hint="eastAsia" w:ascii="宋体" w:hAnsi="宋体" w:eastAsia="宋体" w:cs="宋体"/>
          <w:b/>
          <w:bCs/>
          <w:sz w:val="28"/>
          <w:szCs w:val="28"/>
          <w:lang w:val="en-US" w:eastAsia="zh-CN" w:bidi="ar-SA"/>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97"/>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0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1111"/>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094"/>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1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1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1111"/>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11"/>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1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4"/>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55"/>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1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1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1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4"/>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与评审相关的其他符合证明文件材料</w:t>
      </w:r>
      <w:r/>
    </w:p>
    <w:p>
      <w:pPr>
        <w:pStyle w:val="111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11"/>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111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4"/>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11"/>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094"/>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right="0" w:firstLine="562"/>
        <w:keepLines w:val="0"/>
        <w:keepNext w:val="0"/>
        <w:pageBreakBefore w:val="0"/>
        <w:spacing w:before="0" w:beforeAutospacing="0" w:after="0" w:afterAutospacing="0" w:line="420" w:lineRule="exact"/>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5.“标的名称”请参照第五章采购需求第三节服务需求明细，若填写错误则不享受相关中小企业扶持政策。</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3"/>
      <w:r/>
      <w:bookmarkEnd w:id="44"/>
      <w:r/>
      <w:bookmarkEnd w:id="45"/>
      <w:r/>
      <w:bookmarkEnd w:id="46"/>
      <w:r/>
      <w:bookmarkEnd w:id="47"/>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firstLine="0"/>
      <w:rPr>
        <w:rFonts w:hint="eastAsia"/>
      </w:rPr>
    </w:pPr>
    <w:r>
      <w:rPr>
        <w:rFonts w:hint="eastAsia"/>
      </w:rPr>
    </w:r>
    <w:r/>
  </w:p>
  <w:p>
    <w:pPr>
      <w:pStyle w:val="1109"/>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Fonts w:hint="eastAsia"/>
      </w:rPr>
    </w:pPr>
    <w:r>
      <w:rPr>
        <w:rFonts w:hint="eastAsia"/>
      </w:rPr>
    </w:r>
    <w:r/>
  </w:p>
  <w:p>
    <w:pPr>
      <w:pStyle w:val="1109"/>
      <w:rPr>
        <w:rFonts w:hint="eastAsia"/>
      </w:rPr>
    </w:pPr>
    <w:r>
      <w:rPr>
        <w:rFonts w:hint="eastAsia"/>
      </w:rPr>
    </w:r>
    <w:r/>
  </w:p>
  <w:p>
    <w:pPr>
      <w:pStyle w:val="1109"/>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3">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5">
    <w:name w:val="Heading 1 Char"/>
    <w:basedOn w:val="1096"/>
    <w:link w:val="1092"/>
    <w:uiPriority w:val="9"/>
    <w:rPr>
      <w:rFonts w:ascii="Arial" w:hAnsi="Arial" w:eastAsia="Arial" w:cs="Arial"/>
      <w:sz w:val="40"/>
      <w:szCs w:val="40"/>
    </w:rPr>
  </w:style>
  <w:style w:type="character" w:styleId="926">
    <w:name w:val="Heading 2 Char"/>
    <w:basedOn w:val="1096"/>
    <w:link w:val="1093"/>
    <w:uiPriority w:val="9"/>
    <w:rPr>
      <w:rFonts w:ascii="Arial" w:hAnsi="Arial" w:eastAsia="Arial" w:cs="Arial"/>
      <w:sz w:val="34"/>
    </w:rPr>
  </w:style>
  <w:style w:type="character" w:styleId="927">
    <w:name w:val="Heading 3 Char"/>
    <w:basedOn w:val="1096"/>
    <w:link w:val="1094"/>
    <w:uiPriority w:val="9"/>
    <w:rPr>
      <w:rFonts w:ascii="Arial" w:hAnsi="Arial" w:eastAsia="Arial" w:cs="Arial"/>
      <w:sz w:val="30"/>
      <w:szCs w:val="30"/>
    </w:rPr>
  </w:style>
  <w:style w:type="character" w:styleId="928">
    <w:name w:val="Heading 4 Char"/>
    <w:basedOn w:val="1096"/>
    <w:link w:val="1095"/>
    <w:uiPriority w:val="9"/>
    <w:rPr>
      <w:rFonts w:ascii="Arial" w:hAnsi="Arial" w:eastAsia="Arial" w:cs="Arial"/>
      <w:b/>
      <w:bCs/>
      <w:sz w:val="26"/>
      <w:szCs w:val="26"/>
    </w:rPr>
  </w:style>
  <w:style w:type="paragraph" w:styleId="929">
    <w:name w:val="Heading 5"/>
    <w:basedOn w:val="1091"/>
    <w:next w:val="1091"/>
    <w:link w:val="930"/>
    <w:uiPriority w:val="9"/>
    <w:unhideWhenUsed/>
    <w:qFormat/>
    <w:pPr>
      <w:keepLines/>
      <w:keepNext/>
      <w:spacing w:before="320" w:after="200"/>
      <w:outlineLvl w:val="4"/>
    </w:pPr>
    <w:rPr>
      <w:rFonts w:ascii="Arial" w:hAnsi="Arial" w:eastAsia="Arial" w:cs="Arial"/>
      <w:b/>
      <w:bCs/>
      <w:sz w:val="24"/>
      <w:szCs w:val="24"/>
    </w:rPr>
  </w:style>
  <w:style w:type="character" w:styleId="930">
    <w:name w:val="Heading 5 Char"/>
    <w:basedOn w:val="1096"/>
    <w:link w:val="929"/>
    <w:uiPriority w:val="9"/>
    <w:rPr>
      <w:rFonts w:ascii="Arial" w:hAnsi="Arial" w:eastAsia="Arial" w:cs="Arial"/>
      <w:b/>
      <w:bCs/>
      <w:sz w:val="24"/>
      <w:szCs w:val="24"/>
    </w:rPr>
  </w:style>
  <w:style w:type="paragraph" w:styleId="931">
    <w:name w:val="Heading 6"/>
    <w:basedOn w:val="1091"/>
    <w:next w:val="1091"/>
    <w:link w:val="932"/>
    <w:uiPriority w:val="9"/>
    <w:unhideWhenUsed/>
    <w:qFormat/>
    <w:pPr>
      <w:keepLines/>
      <w:keepNext/>
      <w:spacing w:before="320" w:after="200"/>
      <w:outlineLvl w:val="5"/>
    </w:pPr>
    <w:rPr>
      <w:rFonts w:ascii="Arial" w:hAnsi="Arial" w:eastAsia="Arial" w:cs="Arial"/>
      <w:b/>
      <w:bCs/>
      <w:sz w:val="22"/>
      <w:szCs w:val="22"/>
    </w:rPr>
  </w:style>
  <w:style w:type="character" w:styleId="932">
    <w:name w:val="Heading 6 Char"/>
    <w:basedOn w:val="1096"/>
    <w:link w:val="931"/>
    <w:uiPriority w:val="9"/>
    <w:rPr>
      <w:rFonts w:ascii="Arial" w:hAnsi="Arial" w:eastAsia="Arial" w:cs="Arial"/>
      <w:b/>
      <w:bCs/>
      <w:sz w:val="22"/>
      <w:szCs w:val="22"/>
    </w:rPr>
  </w:style>
  <w:style w:type="paragraph" w:styleId="933">
    <w:name w:val="Heading 7"/>
    <w:basedOn w:val="1091"/>
    <w:next w:val="1091"/>
    <w:link w:val="934"/>
    <w:uiPriority w:val="9"/>
    <w:unhideWhenUsed/>
    <w:qFormat/>
    <w:pPr>
      <w:keepLines/>
      <w:keepNext/>
      <w:spacing w:before="320" w:after="200"/>
      <w:outlineLvl w:val="6"/>
    </w:pPr>
    <w:rPr>
      <w:rFonts w:ascii="Arial" w:hAnsi="Arial" w:eastAsia="Arial" w:cs="Arial"/>
      <w:b/>
      <w:bCs/>
      <w:i/>
      <w:iCs/>
      <w:sz w:val="22"/>
      <w:szCs w:val="22"/>
    </w:rPr>
  </w:style>
  <w:style w:type="character" w:styleId="934">
    <w:name w:val="Heading 7 Char"/>
    <w:basedOn w:val="1096"/>
    <w:link w:val="933"/>
    <w:uiPriority w:val="9"/>
    <w:rPr>
      <w:rFonts w:ascii="Arial" w:hAnsi="Arial" w:eastAsia="Arial" w:cs="Arial"/>
      <w:b/>
      <w:bCs/>
      <w:i/>
      <w:iCs/>
      <w:sz w:val="22"/>
      <w:szCs w:val="22"/>
    </w:rPr>
  </w:style>
  <w:style w:type="paragraph" w:styleId="935">
    <w:name w:val="Heading 8"/>
    <w:basedOn w:val="1091"/>
    <w:next w:val="1091"/>
    <w:link w:val="936"/>
    <w:uiPriority w:val="9"/>
    <w:unhideWhenUsed/>
    <w:qFormat/>
    <w:pPr>
      <w:keepLines/>
      <w:keepNext/>
      <w:spacing w:before="320" w:after="200"/>
      <w:outlineLvl w:val="7"/>
    </w:pPr>
    <w:rPr>
      <w:rFonts w:ascii="Arial" w:hAnsi="Arial" w:eastAsia="Arial" w:cs="Arial"/>
      <w:i/>
      <w:iCs/>
      <w:sz w:val="22"/>
      <w:szCs w:val="22"/>
    </w:rPr>
  </w:style>
  <w:style w:type="character" w:styleId="936">
    <w:name w:val="Heading 8 Char"/>
    <w:basedOn w:val="1096"/>
    <w:link w:val="935"/>
    <w:uiPriority w:val="9"/>
    <w:rPr>
      <w:rFonts w:ascii="Arial" w:hAnsi="Arial" w:eastAsia="Arial" w:cs="Arial"/>
      <w:i/>
      <w:iCs/>
      <w:sz w:val="22"/>
      <w:szCs w:val="22"/>
    </w:rPr>
  </w:style>
  <w:style w:type="paragraph" w:styleId="937">
    <w:name w:val="Heading 9"/>
    <w:basedOn w:val="1091"/>
    <w:next w:val="1091"/>
    <w:link w:val="938"/>
    <w:uiPriority w:val="9"/>
    <w:unhideWhenUsed/>
    <w:qFormat/>
    <w:pPr>
      <w:keepLines/>
      <w:keepNext/>
      <w:spacing w:before="320" w:after="200"/>
      <w:outlineLvl w:val="8"/>
    </w:pPr>
    <w:rPr>
      <w:rFonts w:ascii="Arial" w:hAnsi="Arial" w:eastAsia="Arial" w:cs="Arial"/>
      <w:i/>
      <w:iCs/>
      <w:sz w:val="21"/>
      <w:szCs w:val="21"/>
    </w:rPr>
  </w:style>
  <w:style w:type="character" w:styleId="938">
    <w:name w:val="Heading 9 Char"/>
    <w:basedOn w:val="1096"/>
    <w:link w:val="937"/>
    <w:uiPriority w:val="9"/>
    <w:rPr>
      <w:rFonts w:ascii="Arial" w:hAnsi="Arial" w:eastAsia="Arial" w:cs="Arial"/>
      <w:i/>
      <w:iCs/>
      <w:sz w:val="21"/>
      <w:szCs w:val="21"/>
    </w:rPr>
  </w:style>
  <w:style w:type="paragraph" w:styleId="939">
    <w:name w:val="No Spacing"/>
    <w:uiPriority w:val="1"/>
    <w:qFormat/>
    <w:pPr>
      <w:spacing w:before="0" w:after="0" w:line="240" w:lineRule="auto"/>
    </w:pPr>
  </w:style>
  <w:style w:type="character" w:styleId="940">
    <w:name w:val="Title Char"/>
    <w:basedOn w:val="1096"/>
    <w:link w:val="1101"/>
    <w:uiPriority w:val="10"/>
    <w:rPr>
      <w:sz w:val="48"/>
      <w:szCs w:val="48"/>
    </w:rPr>
  </w:style>
  <w:style w:type="paragraph" w:styleId="941">
    <w:name w:val="Subtitle"/>
    <w:basedOn w:val="1091"/>
    <w:next w:val="1091"/>
    <w:link w:val="942"/>
    <w:uiPriority w:val="11"/>
    <w:qFormat/>
    <w:pPr>
      <w:spacing w:before="200" w:after="200"/>
    </w:pPr>
    <w:rPr>
      <w:sz w:val="24"/>
      <w:szCs w:val="24"/>
    </w:rPr>
  </w:style>
  <w:style w:type="character" w:styleId="942">
    <w:name w:val="Subtitle Char"/>
    <w:basedOn w:val="1096"/>
    <w:link w:val="941"/>
    <w:uiPriority w:val="11"/>
    <w:rPr>
      <w:sz w:val="24"/>
      <w:szCs w:val="24"/>
    </w:rPr>
  </w:style>
  <w:style w:type="character" w:styleId="943">
    <w:name w:val="Quote Char"/>
    <w:link w:val="1154"/>
    <w:uiPriority w:val="29"/>
    <w:rPr>
      <w:i/>
    </w:rPr>
  </w:style>
  <w:style w:type="paragraph" w:styleId="944">
    <w:name w:val="Intense Quote"/>
    <w:basedOn w:val="1091"/>
    <w:next w:val="1091"/>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name w:val="Intense Quote Char"/>
    <w:link w:val="944"/>
    <w:uiPriority w:val="30"/>
    <w:rPr>
      <w:i/>
    </w:rPr>
  </w:style>
  <w:style w:type="character" w:styleId="946">
    <w:name w:val="Header Char"/>
    <w:basedOn w:val="1096"/>
    <w:link w:val="1109"/>
    <w:uiPriority w:val="99"/>
  </w:style>
  <w:style w:type="character" w:styleId="947">
    <w:name w:val="Footer Char"/>
    <w:basedOn w:val="1096"/>
    <w:link w:val="1108"/>
    <w:uiPriority w:val="99"/>
  </w:style>
  <w:style w:type="paragraph" w:styleId="948">
    <w:name w:val="Caption"/>
    <w:basedOn w:val="1091"/>
    <w:next w:val="1091"/>
    <w:uiPriority w:val="35"/>
    <w:semiHidden/>
    <w:unhideWhenUsed/>
    <w:qFormat/>
    <w:pPr>
      <w:spacing w:line="276" w:lineRule="auto"/>
    </w:pPr>
    <w:rPr>
      <w:b/>
      <w:bCs/>
      <w:color w:val="4f81bd" w:themeColor="accent1"/>
      <w:sz w:val="18"/>
      <w:szCs w:val="18"/>
    </w:rPr>
  </w:style>
  <w:style w:type="character" w:styleId="949">
    <w:name w:val="Caption Char"/>
    <w:basedOn w:val="948"/>
    <w:link w:val="1108"/>
    <w:uiPriority w:val="99"/>
  </w:style>
  <w:style w:type="table" w:styleId="950">
    <w:name w:val="Table Grid Light"/>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1">
    <w:name w:val="Plain Table 1"/>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2"/>
    <w:basedOn w:val="10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3"/>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name w:val="Plain Table 4"/>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name w:val="Plain Table 5"/>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6">
    <w:name w:val="Grid Table 1 Light"/>
    <w:basedOn w:val="10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7">
    <w:name w:val="Grid Table 1 Light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8">
    <w:name w:val="Grid Table 1 Light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9">
    <w:name w:val="Grid Table 1 Light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0">
    <w:name w:val="Grid Table 1 Light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1">
    <w:name w:val="Grid Table 1 Light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2">
    <w:name w:val="Grid Table 1 Light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3">
    <w:name w:val="Grid Table 2"/>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4">
    <w:name w:val="Grid Table 2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5">
    <w:name w:val="Grid Table 2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6">
    <w:name w:val="Grid Table 2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7">
    <w:name w:val="Grid Table 2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8">
    <w:name w:val="Grid Table 2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9">
    <w:name w:val="Grid Table 2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0">
    <w:name w:val="Grid Table 3"/>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4"/>
    <w:basedOn w:val="10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name w:val="Grid Table 4 - Accent 1"/>
    <w:basedOn w:val="10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9">
    <w:name w:val="Grid Table 4 - Accent 2"/>
    <w:basedOn w:val="10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0">
    <w:name w:val="Grid Table 4 - Accent 3"/>
    <w:basedOn w:val="10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1">
    <w:name w:val="Grid Table 4 - Accent 4"/>
    <w:basedOn w:val="10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2">
    <w:name w:val="Grid Table 4 - Accent 5"/>
    <w:basedOn w:val="10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3">
    <w:name w:val="Grid Table 4 - Accent 6"/>
    <w:basedOn w:val="10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4">
    <w:name w:val="Grid Table 5 Dark"/>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5">
    <w:name w:val="Grid Table 5 Dark- Accent 1"/>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6">
    <w:name w:val="Grid Table 5 Dark - Accent 2"/>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7">
    <w:name w:val="Grid Table 5 Dark - Accent 3"/>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8">
    <w:name w:val="Grid Table 5 Dark- Accent 4"/>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9">
    <w:name w:val="Grid Table 5 Dark - Accent 5"/>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0">
    <w:name w:val="Grid Table 5 Dark - Accent 6"/>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1">
    <w:name w:val="Grid Table 6 Colorful"/>
    <w:basedOn w:val="10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2">
    <w:name w:val="Grid Table 6 Colorful - Accent 1"/>
    <w:basedOn w:val="10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3">
    <w:name w:val="Grid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4">
    <w:name w:val="Grid Table 6 Colorful - Accent 3"/>
    <w:basedOn w:val="10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5">
    <w:name w:val="Grid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6">
    <w:name w:val="Grid Table 6 Colorful - Accent 5"/>
    <w:basedOn w:val="10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6 Colorful - Accent 6"/>
    <w:basedOn w:val="10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7 Colorful"/>
    <w:basedOn w:val="10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9">
    <w:name w:val="Grid Table 7 Colorful - Accent 1"/>
    <w:basedOn w:val="10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0">
    <w:name w:val="Grid Table 7 Colorful - Accent 2"/>
    <w:basedOn w:val="10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1">
    <w:name w:val="Grid Table 7 Colorful - Accent 3"/>
    <w:basedOn w:val="10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2">
    <w:name w:val="Grid Table 7 Colorful - Accent 4"/>
    <w:basedOn w:val="10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3">
    <w:name w:val="Grid Table 7 Colorful - Accent 5"/>
    <w:basedOn w:val="10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4">
    <w:name w:val="Grid Table 7 Colorful - Accent 6"/>
    <w:basedOn w:val="10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5">
    <w:name w:val="List Table 1 Light"/>
    <w:basedOn w:val="10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name w:val="List Table 1 Light - Accent 1"/>
    <w:basedOn w:val="10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7">
    <w:name w:val="List Table 1 Light - Accent 2"/>
    <w:basedOn w:val="10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8">
    <w:name w:val="List Table 1 Light - Accent 3"/>
    <w:basedOn w:val="10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9">
    <w:name w:val="List Table 1 Light - Accent 4"/>
    <w:basedOn w:val="10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0">
    <w:name w:val="List Table 1 Light - Accent 5"/>
    <w:basedOn w:val="10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1">
    <w:name w:val="List Table 1 Light - Accent 6"/>
    <w:basedOn w:val="10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2">
    <w:name w:val="List Table 2"/>
    <w:basedOn w:val="10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3">
    <w:name w:val="List Table 2 - Accent 1"/>
    <w:basedOn w:val="10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4">
    <w:name w:val="List Table 2 - Accent 2"/>
    <w:basedOn w:val="10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5">
    <w:name w:val="List Table 2 - Accent 3"/>
    <w:basedOn w:val="10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6">
    <w:name w:val="List Table 2 - Accent 4"/>
    <w:basedOn w:val="10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7">
    <w:name w:val="List Table 2 - Accent 5"/>
    <w:basedOn w:val="10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8">
    <w:name w:val="List Table 2 - Accent 6"/>
    <w:basedOn w:val="10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9">
    <w:name w:val="List Table 3"/>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3 - Accent 1"/>
    <w:basedOn w:val="10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3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2">
    <w:name w:val="List Table 3 - Accent 3"/>
    <w:basedOn w:val="10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3">
    <w:name w:val="List Table 3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4">
    <w:name w:val="List Table 3 - Accent 5"/>
    <w:basedOn w:val="10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5">
    <w:name w:val="List Table 3 - Accent 6"/>
    <w:basedOn w:val="10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6">
    <w:name w:val="List Table 4"/>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4 - Accent 1"/>
    <w:basedOn w:val="10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4 - Accent 2"/>
    <w:basedOn w:val="10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9">
    <w:name w:val="List Table 4 - Accent 3"/>
    <w:basedOn w:val="10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0">
    <w:name w:val="List Table 4 - Accent 4"/>
    <w:basedOn w:val="10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1">
    <w:name w:val="List Table 4 - Accent 5"/>
    <w:basedOn w:val="10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2">
    <w:name w:val="List Table 4 - Accent 6"/>
    <w:basedOn w:val="10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3">
    <w:name w:val="List Table 5 Dark"/>
    <w:basedOn w:val="10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1"/>
    <w:basedOn w:val="10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2"/>
    <w:basedOn w:val="10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3"/>
    <w:basedOn w:val="10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4"/>
    <w:basedOn w:val="10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5"/>
    <w:basedOn w:val="10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6"/>
    <w:basedOn w:val="10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6 Colorful"/>
    <w:basedOn w:val="10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1">
    <w:name w:val="List Table 6 Colorful - Accent 1"/>
    <w:basedOn w:val="10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2">
    <w:name w:val="List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3">
    <w:name w:val="List Table 6 Colorful - Accent 3"/>
    <w:basedOn w:val="10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4">
    <w:name w:val="List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5">
    <w:name w:val="List Table 6 Colorful - Accent 5"/>
    <w:basedOn w:val="10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6">
    <w:name w:val="List Table 6 Colorful - Accent 6"/>
    <w:basedOn w:val="10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7">
    <w:name w:val="List Table 7 Colorful"/>
    <w:basedOn w:val="10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8">
    <w:name w:val="List Table 7 Colorful - Accent 1"/>
    <w:basedOn w:val="10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9">
    <w:name w:val="List Table 7 Colorful - Accent 2"/>
    <w:basedOn w:val="10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0">
    <w:name w:val="List Table 7 Colorful - Accent 3"/>
    <w:basedOn w:val="10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1">
    <w:name w:val="List Table 7 Colorful - Accent 4"/>
    <w:basedOn w:val="10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2">
    <w:name w:val="List Table 7 Colorful - Accent 5"/>
    <w:basedOn w:val="10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3">
    <w:name w:val="List Table 7 Colorful - Accent 6"/>
    <w:basedOn w:val="10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4">
    <w:name w:val="Lined - Accent"/>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Lined - Accent 1"/>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Lined - Accent 2"/>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Lined - Accent 3"/>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Lined - Accent 4"/>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Lined - Accent 5"/>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Lined - Accent 6"/>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amp; Lined - Accent"/>
    <w:basedOn w:val="10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Bordered &amp; Lined - Accent 1"/>
    <w:basedOn w:val="10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Bordered &amp; Lined - Accent 2"/>
    <w:basedOn w:val="10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Bordered &amp; Lined - Accent 3"/>
    <w:basedOn w:val="10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Bordered &amp; Lined - Accent 4"/>
    <w:basedOn w:val="10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Bordered &amp; Lined - Accent 5"/>
    <w:basedOn w:val="10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Bordered &amp; Lined - Accent 6"/>
    <w:basedOn w:val="10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w:basedOn w:val="10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9">
    <w:name w:val="Bordered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0">
    <w:name w:val="Bordered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1">
    <w:name w:val="Bordered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2">
    <w:name w:val="Bordered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3">
    <w:name w:val="Bordered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4">
    <w:name w:val="Bordered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5">
    <w:name w:val="footnote text"/>
    <w:basedOn w:val="1091"/>
    <w:link w:val="1076"/>
    <w:uiPriority w:val="99"/>
    <w:semiHidden/>
    <w:unhideWhenUsed/>
    <w:pPr>
      <w:spacing w:after="40" w:line="240" w:lineRule="auto"/>
    </w:pPr>
    <w:rPr>
      <w:sz w:val="18"/>
    </w:rPr>
  </w:style>
  <w:style w:type="character" w:styleId="1076">
    <w:name w:val="Footnote Text Char"/>
    <w:link w:val="1075"/>
    <w:uiPriority w:val="99"/>
    <w:rPr>
      <w:sz w:val="18"/>
    </w:rPr>
  </w:style>
  <w:style w:type="character" w:styleId="1077">
    <w:name w:val="footnote reference"/>
    <w:basedOn w:val="1096"/>
    <w:uiPriority w:val="99"/>
    <w:unhideWhenUsed/>
    <w:rPr>
      <w:vertAlign w:val="superscript"/>
    </w:rPr>
  </w:style>
  <w:style w:type="paragraph" w:styleId="1078">
    <w:name w:val="endnote text"/>
    <w:basedOn w:val="1091"/>
    <w:link w:val="1079"/>
    <w:uiPriority w:val="99"/>
    <w:semiHidden/>
    <w:unhideWhenUsed/>
    <w:pPr>
      <w:spacing w:after="0" w:line="240" w:lineRule="auto"/>
    </w:pPr>
    <w:rPr>
      <w:sz w:val="20"/>
    </w:rPr>
  </w:style>
  <w:style w:type="character" w:styleId="1079">
    <w:name w:val="Endnote Text Char"/>
    <w:link w:val="1078"/>
    <w:uiPriority w:val="99"/>
    <w:rPr>
      <w:sz w:val="20"/>
    </w:rPr>
  </w:style>
  <w:style w:type="character" w:styleId="1080">
    <w:name w:val="endnote reference"/>
    <w:basedOn w:val="1096"/>
    <w:uiPriority w:val="99"/>
    <w:semiHidden/>
    <w:unhideWhenUsed/>
    <w:rPr>
      <w:vertAlign w:val="superscript"/>
    </w:rPr>
  </w:style>
  <w:style w:type="paragraph" w:styleId="1081">
    <w:name w:val="toc 2"/>
    <w:basedOn w:val="1091"/>
    <w:next w:val="1091"/>
    <w:uiPriority w:val="39"/>
    <w:unhideWhenUsed/>
    <w:pPr>
      <w:ind w:left="283" w:right="0" w:firstLine="0"/>
      <w:spacing w:after="57"/>
    </w:pPr>
  </w:style>
  <w:style w:type="paragraph" w:styleId="1082">
    <w:name w:val="toc 3"/>
    <w:basedOn w:val="1091"/>
    <w:next w:val="1091"/>
    <w:uiPriority w:val="39"/>
    <w:unhideWhenUsed/>
    <w:pPr>
      <w:ind w:left="567" w:right="0" w:firstLine="0"/>
      <w:spacing w:after="57"/>
    </w:pPr>
  </w:style>
  <w:style w:type="paragraph" w:styleId="1083">
    <w:name w:val="toc 4"/>
    <w:basedOn w:val="1091"/>
    <w:next w:val="1091"/>
    <w:uiPriority w:val="39"/>
    <w:unhideWhenUsed/>
    <w:pPr>
      <w:ind w:left="850" w:right="0" w:firstLine="0"/>
      <w:spacing w:after="57"/>
    </w:pPr>
  </w:style>
  <w:style w:type="paragraph" w:styleId="1084">
    <w:name w:val="toc 5"/>
    <w:basedOn w:val="1091"/>
    <w:next w:val="1091"/>
    <w:uiPriority w:val="39"/>
    <w:unhideWhenUsed/>
    <w:pPr>
      <w:ind w:left="1134" w:right="0" w:firstLine="0"/>
      <w:spacing w:after="57"/>
    </w:pPr>
  </w:style>
  <w:style w:type="paragraph" w:styleId="1085">
    <w:name w:val="toc 6"/>
    <w:basedOn w:val="1091"/>
    <w:next w:val="1091"/>
    <w:uiPriority w:val="39"/>
    <w:unhideWhenUsed/>
    <w:pPr>
      <w:ind w:left="1417" w:right="0" w:firstLine="0"/>
      <w:spacing w:after="57"/>
    </w:pPr>
  </w:style>
  <w:style w:type="paragraph" w:styleId="1086">
    <w:name w:val="toc 7"/>
    <w:basedOn w:val="1091"/>
    <w:next w:val="1091"/>
    <w:uiPriority w:val="39"/>
    <w:unhideWhenUsed/>
    <w:pPr>
      <w:ind w:left="1701" w:right="0" w:firstLine="0"/>
      <w:spacing w:after="57"/>
    </w:pPr>
  </w:style>
  <w:style w:type="paragraph" w:styleId="1087">
    <w:name w:val="toc 8"/>
    <w:basedOn w:val="1091"/>
    <w:next w:val="1091"/>
    <w:uiPriority w:val="39"/>
    <w:unhideWhenUsed/>
    <w:pPr>
      <w:ind w:left="1984" w:right="0" w:firstLine="0"/>
      <w:spacing w:after="57"/>
    </w:pPr>
  </w:style>
  <w:style w:type="paragraph" w:styleId="1088">
    <w:name w:val="toc 9"/>
    <w:basedOn w:val="1091"/>
    <w:next w:val="1091"/>
    <w:uiPriority w:val="39"/>
    <w:unhideWhenUsed/>
    <w:pPr>
      <w:ind w:left="2268" w:right="0" w:firstLine="0"/>
      <w:spacing w:after="57"/>
    </w:pPr>
  </w:style>
  <w:style w:type="paragraph" w:styleId="1089">
    <w:name w:val="TOC Heading"/>
    <w:uiPriority w:val="39"/>
    <w:unhideWhenUsed/>
  </w:style>
  <w:style w:type="paragraph" w:styleId="1090">
    <w:name w:val="table of figures"/>
    <w:basedOn w:val="1091"/>
    <w:next w:val="1091"/>
    <w:uiPriority w:val="99"/>
    <w:unhideWhenUsed/>
    <w:pPr>
      <w:spacing w:after="0" w:afterAutospacing="0"/>
    </w:pPr>
  </w:style>
  <w:style w:type="paragraph" w:styleId="1091"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92">
    <w:name w:val="Heading 1"/>
    <w:basedOn w:val="1091"/>
    <w:next w:val="1091"/>
    <w:link w:val="1119"/>
    <w:uiPriority w:val="9"/>
    <w:qFormat/>
    <w:pPr>
      <w:jc w:val="center"/>
      <w:keepNext/>
      <w:tabs>
        <w:tab w:val="left" w:pos="200" w:leader="none"/>
      </w:tabs>
      <w:outlineLvl w:val="0"/>
    </w:pPr>
    <w:rPr>
      <w:rFonts w:ascii="宋体" w:hAnsi="宋体" w:eastAsia="黑体" w:cs="Times New Roman"/>
      <w:b/>
      <w:sz w:val="84"/>
      <w:szCs w:val="20"/>
    </w:rPr>
  </w:style>
  <w:style w:type="paragraph" w:styleId="1093">
    <w:name w:val="Heading 2"/>
    <w:basedOn w:val="1094"/>
    <w:next w:val="1095"/>
    <w:link w:val="1122"/>
    <w:uiPriority w:val="9"/>
    <w:qFormat/>
    <w:pPr>
      <w:jc w:val="center"/>
      <w:keepNext/>
      <w:outlineLvl w:val="1"/>
    </w:pPr>
    <w:rPr>
      <w:rFonts w:ascii="Times New Roman" w:hAnsi="Times New Roman" w:eastAsia="黑体" w:cs="Times New Roman"/>
      <w:sz w:val="44"/>
      <w:szCs w:val="28"/>
    </w:rPr>
  </w:style>
  <w:style w:type="paragraph" w:styleId="1094">
    <w:name w:val="Heading 3"/>
    <w:basedOn w:val="1091"/>
    <w:next w:val="1091"/>
    <w:link w:val="1120"/>
    <w:uiPriority w:val="9"/>
    <w:qFormat/>
    <w:pPr>
      <w:jc w:val="center"/>
      <w:keepLines/>
      <w:keepNext/>
      <w:outlineLvl w:val="2"/>
    </w:pPr>
    <w:rPr>
      <w:rFonts w:ascii="Times New Roman" w:hAnsi="Times New Roman" w:eastAsia="黑体" w:cs="Times New Roman"/>
      <w:szCs w:val="32"/>
    </w:rPr>
  </w:style>
  <w:style w:type="paragraph" w:styleId="1095">
    <w:name w:val="Heading 4"/>
    <w:basedOn w:val="1091"/>
    <w:next w:val="1091"/>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96" w:default="1">
    <w:name w:val="Default Paragraph Font"/>
    <w:uiPriority w:val="0"/>
    <w:semiHidden/>
    <w:qFormat/>
  </w:style>
  <w:style w:type="table" w:styleId="109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98">
    <w:name w:val="table of authorities"/>
    <w:basedOn w:val="1091"/>
    <w:next w:val="1091"/>
    <w:uiPriority w:val="99"/>
    <w:qFormat/>
    <w:pPr>
      <w:ind w:left="420"/>
    </w:pPr>
    <w:rPr>
      <w:szCs w:val="20"/>
    </w:rPr>
  </w:style>
  <w:style w:type="paragraph" w:styleId="1099">
    <w:name w:val="Normal Indent"/>
    <w:basedOn w:val="1091"/>
    <w:next w:val="1100"/>
    <w:uiPriority w:val="0"/>
    <w:qFormat/>
    <w:pPr>
      <w:ind w:firstLine="420"/>
    </w:pPr>
    <w:rPr>
      <w:rFonts w:ascii="Calibri" w:hAnsi="Calibri" w:cs="Times New Roman"/>
      <w:sz w:val="24"/>
      <w:szCs w:val="20"/>
    </w:rPr>
  </w:style>
  <w:style w:type="paragraph" w:styleId="1100">
    <w:name w:val="Body Text"/>
    <w:basedOn w:val="1091"/>
    <w:next w:val="1101"/>
    <w:uiPriority w:val="0"/>
    <w:qFormat/>
    <w:rPr>
      <w:rFonts w:ascii="楷体_GB2312" w:hAnsi="Arial" w:eastAsia="楷体_GB2312" w:cs="Times New Roman"/>
      <w:sz w:val="28"/>
      <w:szCs w:val="20"/>
    </w:rPr>
  </w:style>
  <w:style w:type="paragraph" w:styleId="1101">
    <w:name w:val="Title"/>
    <w:basedOn w:val="1091"/>
    <w:next w:val="1091"/>
    <w:uiPriority w:val="99"/>
    <w:qFormat/>
    <w:pPr>
      <w:jc w:val="center"/>
      <w:spacing w:before="240" w:after="60"/>
      <w:outlineLvl w:val="0"/>
    </w:pPr>
    <w:rPr>
      <w:rFonts w:ascii="Cambria" w:hAnsi="Cambria" w:eastAsia="宋体"/>
      <w:b/>
      <w:bCs/>
      <w:sz w:val="32"/>
      <w:szCs w:val="32"/>
    </w:rPr>
  </w:style>
  <w:style w:type="paragraph" w:styleId="1102">
    <w:name w:val="annotation text"/>
    <w:basedOn w:val="1091"/>
    <w:uiPriority w:val="99"/>
    <w:qFormat/>
    <w:pPr>
      <w:jc w:val="left"/>
      <w:spacing w:line="280" w:lineRule="atLeast"/>
      <w:widowControl/>
      <w:tabs>
        <w:tab w:val="left" w:pos="1134" w:leader="none"/>
      </w:tabs>
    </w:pPr>
    <w:rPr>
      <w:rFonts w:eastAsia="PMingLiU"/>
      <w:sz w:val="24"/>
      <w:szCs w:val="20"/>
      <w:lang w:eastAsia="zh-TW"/>
    </w:rPr>
  </w:style>
  <w:style w:type="paragraph" w:styleId="1103">
    <w:name w:val="Body Text Indent"/>
    <w:basedOn w:val="1091"/>
    <w:uiPriority w:val="99"/>
    <w:qFormat/>
    <w:pPr>
      <w:ind w:left="960"/>
      <w:spacing w:line="700" w:lineRule="exact"/>
    </w:pPr>
    <w:rPr>
      <w:sz w:val="44"/>
    </w:rPr>
  </w:style>
  <w:style w:type="paragraph" w:styleId="1104">
    <w:name w:val="Block Text"/>
    <w:basedOn w:val="1091"/>
    <w:uiPriority w:val="0"/>
    <w:qFormat/>
    <w:pPr>
      <w:ind w:left="1440" w:right="1440"/>
      <w:spacing w:after="120"/>
    </w:pPr>
  </w:style>
  <w:style w:type="paragraph" w:styleId="1105">
    <w:name w:val="Plain Text"/>
    <w:basedOn w:val="1091"/>
    <w:uiPriority w:val="0"/>
    <w:qFormat/>
    <w:rPr>
      <w:rFonts w:ascii="宋体" w:hAnsi="Courier New" w:cs="Times New Roman"/>
      <w:sz w:val="20"/>
      <w:szCs w:val="20"/>
    </w:rPr>
  </w:style>
  <w:style w:type="paragraph" w:styleId="1106">
    <w:name w:val="Date"/>
    <w:basedOn w:val="1091"/>
    <w:next w:val="1091"/>
    <w:uiPriority w:val="0"/>
    <w:qFormat/>
    <w:rPr>
      <w:rFonts w:ascii="Times New Roman" w:hAnsi="Times New Roman"/>
      <w:szCs w:val="20"/>
    </w:rPr>
  </w:style>
  <w:style w:type="paragraph" w:styleId="1107">
    <w:name w:val="Body Text Indent 2"/>
    <w:basedOn w:val="1091"/>
    <w:uiPriority w:val="0"/>
    <w:qFormat/>
    <w:pPr>
      <w:ind w:firstLine="480"/>
      <w:spacing w:line="360" w:lineRule="exact"/>
    </w:pPr>
    <w:rPr>
      <w:rFonts w:ascii="宋体" w:hAnsi="宋体" w:cs="宋体"/>
      <w:sz w:val="24"/>
    </w:rPr>
  </w:style>
  <w:style w:type="paragraph" w:styleId="1108">
    <w:name w:val="Footer"/>
    <w:basedOn w:val="1091"/>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09">
    <w:name w:val="Header"/>
    <w:basedOn w:val="109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10">
    <w:name w:val="toc 1"/>
    <w:basedOn w:val="1091"/>
    <w:next w:val="1091"/>
    <w:uiPriority w:val="0"/>
    <w:qFormat/>
    <w:pPr>
      <w:spacing w:line="300" w:lineRule="exact"/>
    </w:pPr>
    <w:rPr>
      <w:rFonts w:ascii="宋体" w:hAnsi="宋体"/>
      <w:szCs w:val="21"/>
    </w:rPr>
  </w:style>
  <w:style w:type="paragraph" w:styleId="1111">
    <w:name w:val="Normal (Web)"/>
    <w:basedOn w:val="1091"/>
    <w:uiPriority w:val="99"/>
    <w:unhideWhenUsed/>
    <w:qFormat/>
    <w:pPr>
      <w:jc w:val="left"/>
      <w:spacing w:before="100" w:beforeAutospacing="1" w:after="100" w:afterAutospacing="1"/>
      <w:widowControl/>
    </w:pPr>
    <w:rPr>
      <w:rFonts w:ascii="宋体" w:hAnsi="宋体"/>
      <w:sz w:val="24"/>
    </w:rPr>
  </w:style>
  <w:style w:type="paragraph" w:styleId="1112">
    <w:name w:val="Body Text First Indent 2"/>
    <w:basedOn w:val="1091"/>
    <w:next w:val="1091"/>
    <w:uiPriority w:val="0"/>
    <w:qFormat/>
    <w:pPr>
      <w:ind w:left="420" w:firstLine="420"/>
      <w:spacing w:after="120" w:line="240" w:lineRule="auto"/>
    </w:pPr>
    <w:rPr>
      <w:sz w:val="21"/>
    </w:rPr>
  </w:style>
  <w:style w:type="table" w:styleId="1113">
    <w:name w:val="Table Grid"/>
    <w:basedOn w:val="1097"/>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4">
    <w:name w:val="Strong"/>
    <w:basedOn w:val="1096"/>
    <w:uiPriority w:val="0"/>
    <w:qFormat/>
    <w:rPr>
      <w:b/>
    </w:rPr>
  </w:style>
  <w:style w:type="character" w:styleId="1115">
    <w:name w:val="page number"/>
    <w:basedOn w:val="1096"/>
    <w:uiPriority w:val="0"/>
    <w:qFormat/>
    <w:rPr>
      <w:rFonts w:ascii="Times New Roman" w:hAnsi="Times New Roman" w:eastAsia="宋体" w:cs="Times New Roman"/>
    </w:rPr>
  </w:style>
  <w:style w:type="character" w:styleId="1116">
    <w:name w:val="FollowedHyperlink"/>
    <w:uiPriority w:val="0"/>
    <w:qFormat/>
    <w:rPr>
      <w:color w:val="333333"/>
      <w:u w:val="none"/>
    </w:rPr>
  </w:style>
  <w:style w:type="character" w:styleId="1117">
    <w:name w:val="Emphasis"/>
    <w:uiPriority w:val="0"/>
    <w:qFormat/>
    <w:rPr>
      <w:i/>
    </w:rPr>
  </w:style>
  <w:style w:type="character" w:styleId="1118">
    <w:name w:val="Hyperlink"/>
    <w:uiPriority w:val="99"/>
    <w:unhideWhenUsed/>
    <w:qFormat/>
    <w:rPr>
      <w:color w:val="333333"/>
      <w:u w:val="none"/>
    </w:rPr>
  </w:style>
  <w:style w:type="character" w:styleId="1119" w:customStyle="1">
    <w:name w:val="标题 1 Char"/>
    <w:link w:val="1092"/>
    <w:uiPriority w:val="9"/>
    <w:qFormat/>
    <w:rPr>
      <w:rFonts w:ascii="宋体" w:hAnsi="宋体" w:eastAsia="黑体" w:cs="Times New Roman"/>
      <w:b/>
      <w:sz w:val="84"/>
      <w:szCs w:val="20"/>
    </w:rPr>
  </w:style>
  <w:style w:type="character" w:styleId="1120" w:customStyle="1">
    <w:name w:val="标题 3 Char"/>
    <w:link w:val="1094"/>
    <w:uiPriority w:val="9"/>
    <w:qFormat/>
    <w:rPr>
      <w:rFonts w:ascii="Times New Roman" w:hAnsi="Times New Roman" w:eastAsia="黑体" w:cs="Times New Roman"/>
      <w:b/>
      <w:bCs/>
      <w:szCs w:val="32"/>
    </w:rPr>
  </w:style>
  <w:style w:type="paragraph" w:styleId="1121" w:customStyle="1">
    <w:name w:val="正文文本11"/>
    <w:basedOn w:val="1091"/>
    <w:next w:val="1091"/>
    <w:uiPriority w:val="0"/>
    <w:qFormat/>
    <w:rPr>
      <w:rFonts w:ascii="楷体_GB2312" w:hAnsi="Arial" w:eastAsia="楷体_GB2312" w:cs="Times New Roman"/>
      <w:sz w:val="28"/>
      <w:szCs w:val="20"/>
    </w:rPr>
  </w:style>
  <w:style w:type="character" w:styleId="1122" w:customStyle="1">
    <w:name w:val="标题 2 Char"/>
    <w:link w:val="1093"/>
    <w:uiPriority w:val="9"/>
    <w:qFormat/>
    <w:rPr>
      <w:rFonts w:ascii="Times New Roman" w:hAnsi="Times New Roman" w:eastAsia="黑体" w:cs="Times New Roman"/>
      <w:b/>
      <w:bCs/>
      <w:sz w:val="44"/>
      <w:szCs w:val="28"/>
    </w:rPr>
  </w:style>
  <w:style w:type="character" w:styleId="1123" w:customStyle="1">
    <w:name w:val="font11"/>
    <w:basedOn w:val="1096"/>
    <w:uiPriority w:val="0"/>
    <w:qFormat/>
    <w:rPr>
      <w:rFonts w:hint="eastAsia" w:ascii="宋体" w:hAnsi="宋体" w:eastAsia="宋体" w:cs="宋体"/>
      <w:color w:val="000000"/>
      <w:sz w:val="18"/>
      <w:szCs w:val="18"/>
      <w:u w:val="none"/>
    </w:rPr>
  </w:style>
  <w:style w:type="character" w:styleId="1124" w:customStyle="1">
    <w:name w:val="l-btn-left"/>
    <w:basedOn w:val="1096"/>
    <w:uiPriority w:val="0"/>
    <w:qFormat/>
  </w:style>
  <w:style w:type="character" w:styleId="1125" w:customStyle="1">
    <w:name w:val="font71"/>
    <w:uiPriority w:val="0"/>
    <w:qFormat/>
    <w:rPr>
      <w:rFonts w:hint="eastAsia" w:ascii="宋体" w:hAnsi="宋体" w:eastAsia="宋体" w:cs="宋体"/>
      <w:color w:val="000000"/>
      <w:sz w:val="22"/>
      <w:szCs w:val="22"/>
      <w:u w:val="none"/>
    </w:rPr>
  </w:style>
  <w:style w:type="character" w:styleId="1126" w:customStyle="1">
    <w:name w:val="font21"/>
    <w:basedOn w:val="1096"/>
    <w:uiPriority w:val="0"/>
    <w:qFormat/>
    <w:rPr>
      <w:rFonts w:hint="eastAsia" w:ascii="宋体" w:hAnsi="宋体" w:eastAsia="宋体" w:cs="宋体"/>
      <w:color w:val="000000"/>
      <w:sz w:val="18"/>
      <w:szCs w:val="18"/>
      <w:u w:val="none"/>
    </w:rPr>
  </w:style>
  <w:style w:type="character" w:styleId="1127" w:customStyle="1">
    <w:name w:val="font41"/>
    <w:uiPriority w:val="0"/>
    <w:qFormat/>
    <w:rPr>
      <w:rFonts w:hint="eastAsia" w:ascii="宋体" w:hAnsi="宋体" w:eastAsia="宋体" w:cs="宋体"/>
      <w:b/>
      <w:color w:val="000000"/>
      <w:sz w:val="24"/>
      <w:szCs w:val="24"/>
      <w:u w:val="none"/>
    </w:rPr>
  </w:style>
  <w:style w:type="character" w:styleId="1128" w:customStyle="1">
    <w:name w:val="current"/>
    <w:basedOn w:val="1096"/>
    <w:uiPriority w:val="0"/>
    <w:qFormat/>
    <w:rPr>
      <w:b/>
      <w:color w:val="05a7d8"/>
      <w:sz w:val="14"/>
      <w:szCs w:val="14"/>
    </w:rPr>
  </w:style>
  <w:style w:type="character" w:styleId="1129" w:customStyle="1">
    <w:name w:val="l-btn-text36"/>
    <w:basedOn w:val="1096"/>
    <w:uiPriority w:val="0"/>
    <w:qFormat/>
  </w:style>
  <w:style w:type="character" w:styleId="1130" w:customStyle="1">
    <w:name w:val="tree-title3"/>
    <w:basedOn w:val="1096"/>
    <w:uiPriority w:val="0"/>
    <w:qFormat/>
  </w:style>
  <w:style w:type="character" w:styleId="1131" w:customStyle="1">
    <w:name w:val="font31"/>
    <w:basedOn w:val="1096"/>
    <w:uiPriority w:val="0"/>
    <w:qFormat/>
    <w:rPr>
      <w:rFonts w:hint="default" w:ascii="Arial Narrow" w:hAnsi="Arial Narrow" w:eastAsia="Arial Narrow" w:cs="Arial Narrow"/>
      <w:color w:val="000000"/>
      <w:sz w:val="18"/>
      <w:szCs w:val="18"/>
      <w:u w:val="none"/>
    </w:rPr>
  </w:style>
  <w:style w:type="paragraph" w:styleId="1132" w:customStyle="1">
    <w:name w:val="正文字缩2字"/>
    <w:basedOn w:val="1091"/>
    <w:uiPriority w:val="0"/>
    <w:qFormat/>
    <w:pPr>
      <w:ind w:left="200" w:firstLine="200"/>
      <w:jc w:val="both"/>
      <w:spacing w:before="60" w:after="60" w:line="360" w:lineRule="auto"/>
    </w:pPr>
    <w:rPr>
      <w:szCs w:val="24"/>
    </w:rPr>
  </w:style>
  <w:style w:type="paragraph" w:styleId="1133">
    <w:name w:val="List Paragraph"/>
    <w:basedOn w:val="1091"/>
    <w:uiPriority w:val="99"/>
    <w:qFormat/>
    <w:pPr>
      <w:ind w:firstLine="420"/>
    </w:pPr>
    <w:rPr>
      <w:rFonts w:ascii="Calibri" w:hAnsi="Calibri" w:cs="Times New Roman"/>
      <w:sz w:val="21"/>
      <w:szCs w:val="22"/>
    </w:rPr>
  </w:style>
  <w:style w:type="paragraph" w:styleId="1134"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35" w:customStyle="1">
    <w:name w:val="图例"/>
    <w:basedOn w:val="1091"/>
    <w:uiPriority w:val="0"/>
    <w:qFormat/>
    <w:pPr>
      <w:jc w:val="center"/>
      <w:spacing w:before="120" w:after="120" w:line="360" w:lineRule="auto"/>
    </w:pPr>
    <w:rPr>
      <w:rFonts w:eastAsia="仿宋_GB2312"/>
      <w:b/>
      <w:sz w:val="24"/>
      <w:szCs w:val="20"/>
    </w:rPr>
  </w:style>
  <w:style w:type="paragraph" w:styleId="1136" w:customStyle="1">
    <w:name w:val="样式 标题 4 + 段前: 5 磅 段后: 5 磅 行距: 单倍行距"/>
    <w:basedOn w:val="1095"/>
    <w:uiPriority w:val="0"/>
    <w:qFormat/>
    <w:pPr>
      <w:spacing w:before="100" w:after="100" w:line="240" w:lineRule="auto"/>
    </w:pPr>
    <w:rPr>
      <w:rFonts w:cs="宋体"/>
      <w:szCs w:val="20"/>
    </w:rPr>
  </w:style>
  <w:style w:type="paragraph" w:styleId="1137"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38" w:customStyle="1">
    <w:name w:val="纯文本1"/>
    <w:basedOn w:val="1091"/>
    <w:uiPriority w:val="0"/>
    <w:qFormat/>
    <w:rPr>
      <w:rFonts w:ascii="宋体" w:hAnsi="Courier New" w:eastAsia="楷体_GB2312"/>
      <w:sz w:val="26"/>
    </w:rPr>
  </w:style>
  <w:style w:type="paragraph" w:styleId="1139" w:customStyle="1">
    <w:name w:val="WPSOffice手动目录 1"/>
    <w:uiPriority w:val="0"/>
    <w:qFormat/>
    <w:rPr>
      <w:rFonts w:ascii="Times New Roman" w:hAnsi="Times New Roman" w:eastAsia="宋体" w:cs="Times New Roman"/>
      <w:sz w:val="20"/>
      <w:szCs w:val="20"/>
    </w:rPr>
  </w:style>
  <w:style w:type="paragraph" w:styleId="1140" w:customStyle="1">
    <w:name w:val="Í¼±íÕýÎÄ"/>
    <w:basedOn w:val="1091"/>
    <w:next w:val="1099"/>
    <w:uiPriority w:val="0"/>
    <w:qFormat/>
    <w:pPr>
      <w:ind w:firstLine="420"/>
    </w:pPr>
    <w:rPr>
      <w:rFonts w:ascii="Times New Roman" w:hAnsi="Times New Roman" w:cs="Times New Roman"/>
      <w:sz w:val="24"/>
      <w:szCs w:val="20"/>
    </w:rPr>
  </w:style>
  <w:style w:type="paragraph" w:styleId="1141" w:customStyle="1">
    <w:name w:val="Plain Text"/>
    <w:basedOn w:val="1091"/>
    <w:uiPriority w:val="0"/>
    <w:qFormat/>
    <w:rPr>
      <w:rFonts w:ascii="宋体" w:hAnsi="Courier New" w:eastAsia="楷体_GB2312" w:cs="Times New Roman"/>
      <w:sz w:val="28"/>
      <w:szCs w:val="20"/>
    </w:rPr>
  </w:style>
  <w:style w:type="paragraph" w:styleId="1142" w:customStyle="1">
    <w:name w:val="TOC Heading1"/>
    <w:basedOn w:val="1092"/>
    <w:next w:val="1091"/>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43" w:customStyle="1">
    <w:name w:val="表格标题"/>
    <w:basedOn w:val="1091"/>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44" w:customStyle="1">
    <w:name w:val="Í¼¡À¡¡¡¡ì¬ªÕýÎÄ"/>
    <w:basedOn w:val="1091"/>
    <w:next w:val="1099"/>
    <w:uiPriority w:val="99"/>
    <w:qFormat/>
    <w:pPr>
      <w:ind w:firstLine="420"/>
    </w:pPr>
    <w:rPr>
      <w:rFonts w:ascii="Times New Roman" w:hAnsi="Times New Roman" w:cs="Times New Roman"/>
      <w:sz w:val="24"/>
      <w:szCs w:val="20"/>
    </w:rPr>
  </w:style>
  <w:style w:type="paragraph" w:styleId="1145" w:customStyle="1">
    <w:name w:val="目录 11"/>
    <w:basedOn w:val="1091"/>
    <w:next w:val="1091"/>
    <w:uiPriority w:val="39"/>
    <w:unhideWhenUsed/>
    <w:qFormat/>
    <w:pPr>
      <w:jc w:val="left"/>
      <w:spacing w:after="100" w:line="259" w:lineRule="auto"/>
      <w:widowControl/>
    </w:pPr>
    <w:rPr>
      <w:rFonts w:ascii="Calibri" w:hAnsi="Calibri" w:eastAsia="宋体"/>
      <w:sz w:val="22"/>
      <w:szCs w:val="22"/>
    </w:rPr>
  </w:style>
  <w:style w:type="paragraph" w:styleId="1146" w:customStyle="1">
    <w:name w:val="列出段落1"/>
    <w:basedOn w:val="1091"/>
    <w:uiPriority w:val="0"/>
    <w:qFormat/>
    <w:pPr>
      <w:ind w:firstLine="420"/>
    </w:pPr>
    <w:rPr>
      <w:color w:val="595959"/>
    </w:rPr>
  </w:style>
  <w:style w:type="paragraph" w:styleId="1147" w:customStyle="1">
    <w:name w:val=" Char1"/>
    <w:basedOn w:val="1091"/>
    <w:uiPriority w:val="0"/>
    <w:qFormat/>
    <w:pPr>
      <w:ind w:left="432" w:hanging="432"/>
      <w:tabs>
        <w:tab w:val="left" w:pos="432" w:leader="none"/>
      </w:tabs>
    </w:pPr>
    <w:rPr>
      <w:rFonts w:ascii="仿宋_GB2312" w:hAnsi="Tahoma" w:eastAsia="仿宋_GB2312"/>
      <w:color w:val="000000"/>
      <w:sz w:val="30"/>
      <w:szCs w:val="30"/>
    </w:rPr>
  </w:style>
  <w:style w:type="paragraph" w:styleId="1148" w:customStyle="1">
    <w:name w:val="样式1"/>
    <w:basedOn w:val="1091"/>
    <w:uiPriority w:val="0"/>
    <w:qFormat/>
    <w:pPr>
      <w:numPr>
        <w:ilvl w:val="0"/>
        <w:numId w:val="1"/>
      </w:numPr>
      <w:jc w:val="both"/>
      <w:spacing w:line="240" w:lineRule="auto"/>
    </w:pPr>
    <w:rPr>
      <w:rFonts w:ascii="宋体" w:hAnsi="宋体"/>
      <w:sz w:val="21"/>
      <w:szCs w:val="21"/>
    </w:rPr>
  </w:style>
  <w:style w:type="paragraph" w:styleId="1149" w:customStyle="1">
    <w:name w:val="Í¼¡À¡¡¡¡¡¡¨¬¬¬ªÕýÎÄ"/>
    <w:basedOn w:val="1091"/>
    <w:next w:val="1099"/>
    <w:uiPriority w:val="99"/>
    <w:qFormat/>
    <w:pPr>
      <w:ind w:firstLine="420"/>
    </w:pPr>
    <w:rPr>
      <w:rFonts w:ascii="Times New Roman" w:hAnsi="Times New Roman"/>
      <w:sz w:val="24"/>
      <w:szCs w:val="20"/>
    </w:rPr>
  </w:style>
  <w:style w:type="paragraph" w:styleId="1150" w:customStyle="1">
    <w:name w:val="段标题"/>
    <w:basedOn w:val="1091"/>
    <w:next w:val="1099"/>
    <w:uiPriority w:val="0"/>
    <w:qFormat/>
    <w:pPr>
      <w:jc w:val="left"/>
    </w:pPr>
    <w:rPr>
      <w:rFonts w:ascii="黑体" w:hAnsi="宋体" w:eastAsia="黑体"/>
    </w:rPr>
  </w:style>
  <w:style w:type="paragraph" w:styleId="1151" w:customStyle="1">
    <w:name w:val="样式 标题 1 + 宋体 居中 段前: 17 磅 段后: 16.5 磅"/>
    <w:basedOn w:val="1092"/>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52" w:customStyle="1">
    <w:name w:val="列出段落2"/>
    <w:basedOn w:val="1091"/>
    <w:uiPriority w:val="0"/>
    <w:qFormat/>
    <w:pPr>
      <w:ind w:firstLine="420"/>
    </w:pPr>
  </w:style>
  <w:style w:type="table" w:styleId="1153" w:customStyle="1">
    <w:name w:val="网格型1"/>
    <w:basedOn w:val="1097"/>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4">
    <w:name w:val="Quote"/>
    <w:next w:val="1091"/>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55" w:customStyle="1">
    <w:name w:val="普通(网站)11"/>
    <w:basedOn w:val="1091"/>
    <w:uiPriority w:val="99"/>
    <w:unhideWhenUsed/>
    <w:qFormat/>
    <w:pPr>
      <w:jc w:val="left"/>
      <w:spacing w:before="100" w:beforeAutospacing="1" w:after="100" w:afterAutospacing="1"/>
      <w:widowControl/>
    </w:pPr>
    <w:rPr>
      <w:rFonts w:ascii="宋体" w:hAnsi="宋体"/>
      <w:sz w:val="24"/>
    </w:rPr>
  </w:style>
  <w:style w:type="paragraph" w:styleId="1156" w:customStyle="1">
    <w:name w:val="正文1"/>
    <w:basedOn w:val="1091"/>
    <w:uiPriority w:val="0"/>
    <w:qFormat/>
    <w:pPr>
      <w:ind w:firstLine="361"/>
      <w:spacing w:line="360" w:lineRule="auto"/>
    </w:pPr>
    <w:rPr>
      <w:rFonts w:ascii="宋体" w:hAnsi="宋体"/>
    </w:rPr>
  </w:style>
  <w:style w:type="table" w:styleId="1157" w:customStyle="1">
    <w:name w:val="Table Normal"/>
    <w:uiPriority w:val="0"/>
    <w:semiHidden/>
    <w:unhideWhenUsed/>
    <w:qFormat/>
    <w:rPr>
      <w:sz w:val="20"/>
      <w:szCs w:val="20"/>
    </w:rPr>
    <w:tblPr>
      <w:tblCellMar>
        <w:left w:w="0" w:type="dxa"/>
        <w:top w:w="0" w:type="dxa"/>
        <w:right w:w="0" w:type="dxa"/>
        <w:bottom w:w="0" w:type="dxa"/>
      </w:tblCellMar>
    </w:tbl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2025-12-04T07:24:49Z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48BF0D30243A45FF95862D3963D82F79_13</vt:lpwstr>
  </property>
  <property fmtid="{D5CDD505-2E9C-101B-9397-08002B2CF9AE}" pid="4" name="KSOTemplateDocerSaveRecord">
    <vt:lpwstr>eyJoZGlkIjoiNDBiZjgzOTcwNGIwYmRkMjA2ODBiZGU3ZWJiYzIxNGQiLCJ1c2VySWQiOiI0NTQ1MjA1MDkifQ==</vt:lpwstr>
  </property>
</Properties>
</file>